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5D3" w:rsidRDefault="007115D3" w:rsidP="007D0D70">
      <w:pPr>
        <w:pStyle w:val="Title"/>
      </w:pPr>
      <w:r>
        <w:t>Mutual Funds and Conflicts Concealment among Public Officials</w:t>
      </w:r>
      <w:r w:rsidR="00302373">
        <w:t xml:space="preserve"> at Ohio State</w:t>
      </w:r>
    </w:p>
    <w:p w:rsidR="007115D3" w:rsidRPr="00F66B2F" w:rsidRDefault="007640EF" w:rsidP="008A7E9F">
      <w:pPr>
        <w:spacing w:after="360"/>
        <w:ind w:firstLine="720"/>
        <w:rPr>
          <w:rFonts w:ascii="Calibri" w:eastAsia="Dotum" w:hAnsi="Calibri" w:cs="Times New Roman"/>
          <w:i/>
          <w:sz w:val="28"/>
        </w:rPr>
      </w:pPr>
      <w:r>
        <w:rPr>
          <w:rFonts w:ascii="Calibri" w:eastAsia="Dotum" w:hAnsi="Calibri" w:cs="Times New Roman"/>
          <w:noProof/>
          <w:sz w:val="28"/>
        </w:rPr>
        <mc:AlternateContent>
          <mc:Choice Requires="wps">
            <w:drawing>
              <wp:anchor distT="0" distB="0" distL="114300" distR="114300" simplePos="0" relativeHeight="251659264" behindDoc="1" locked="0" layoutInCell="1" allowOverlap="1">
                <wp:simplePos x="0" y="0"/>
                <wp:positionH relativeFrom="column">
                  <wp:posOffset>0</wp:posOffset>
                </wp:positionH>
                <wp:positionV relativeFrom="paragraph">
                  <wp:posOffset>613954</wp:posOffset>
                </wp:positionV>
                <wp:extent cx="6029325" cy="12858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6029325" cy="1285875"/>
                        </a:xfrm>
                        <a:prstGeom prst="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0;margin-top:48.35pt;width:474.75pt;height:101.2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" fillcolor="#f2f2f2 [3052]" strokecolor="#243f60 [1604]" strokeweight="2pt"/>
            </w:pict>
          </mc:Fallback>
        </mc:AlternateContent>
      </w:r>
      <w:r w:rsidR="007D0D70" w:rsidRPr="007D0D70">
        <w:rPr>
          <w:rFonts w:ascii="Calibri" w:eastAsia="Dotum" w:hAnsi="Calibri" w:cs="Times New Roman"/>
          <w:sz w:val="28"/>
        </w:rPr>
        <w:t>Many j</w:t>
      </w:r>
      <w:r w:rsidR="007115D3" w:rsidRPr="007D0D70">
        <w:rPr>
          <w:rFonts w:ascii="Calibri" w:eastAsia="Dotum" w:hAnsi="Calibri" w:cs="Times New Roman"/>
          <w:sz w:val="28"/>
        </w:rPr>
        <w:t>udges, lawyers and public officials ho</w:t>
      </w:r>
      <w:r w:rsidR="007D0D70" w:rsidRPr="007D0D70">
        <w:rPr>
          <w:rFonts w:ascii="Calibri" w:eastAsia="Dotum" w:hAnsi="Calibri" w:cs="Times New Roman"/>
          <w:sz w:val="28"/>
        </w:rPr>
        <w:t>ld investments in mutual funds in which they have likely received insider tips</w:t>
      </w:r>
      <w:r w:rsidR="00B113C0">
        <w:rPr>
          <w:rFonts w:ascii="Calibri" w:eastAsia="Dotum" w:hAnsi="Calibri" w:cs="Times New Roman"/>
          <w:sz w:val="28"/>
        </w:rPr>
        <w:t xml:space="preserve"> – </w:t>
      </w:r>
      <w:r w:rsidR="00B113C0" w:rsidRPr="00F66B2F">
        <w:rPr>
          <w:rFonts w:ascii="Calibri" w:eastAsia="Dotum" w:hAnsi="Calibri" w:cs="Times New Roman"/>
          <w:i/>
          <w:sz w:val="28"/>
        </w:rPr>
        <w:t>Betty Montgomery, case study</w:t>
      </w:r>
    </w:p>
    <w:p w:rsidR="007640EF" w:rsidRPr="007640EF" w:rsidRDefault="007115D3" w:rsidP="007640EF">
      <w:pPr>
        <w:spacing w:after="0"/>
        <w:ind w:left="180" w:right="180"/>
        <w:rPr>
          <w:i/>
          <w:color w:val="17365D" w:themeColor="text2" w:themeShade="BF"/>
          <w:sz w:val="24"/>
        </w:rPr>
      </w:pPr>
      <w:r w:rsidRPr="007640EF">
        <w:rPr>
          <w:b/>
          <w:i/>
          <w:color w:val="17365D" w:themeColor="text2" w:themeShade="BF"/>
          <w:sz w:val="24"/>
        </w:rPr>
        <w:t>What is a mutual fund?</w:t>
      </w:r>
      <w:r w:rsidRPr="007640EF">
        <w:rPr>
          <w:i/>
          <w:color w:val="17365D" w:themeColor="text2" w:themeShade="BF"/>
          <w:sz w:val="24"/>
        </w:rPr>
        <w:t xml:space="preserve"> </w:t>
      </w:r>
    </w:p>
    <w:p w:rsidR="007115D3" w:rsidRPr="007640EF" w:rsidRDefault="007115D3" w:rsidP="007640EF">
      <w:pPr>
        <w:spacing w:after="0"/>
        <w:ind w:left="180" w:right="180"/>
        <w:rPr>
          <w:rStyle w:val="apple-converted-space"/>
          <w:rFonts w:cs="Times New Roman"/>
          <w:i/>
          <w:color w:val="000000"/>
          <w:sz w:val="24"/>
          <w:szCs w:val="24"/>
          <w:shd w:val="clear" w:color="auto" w:fill="FFFFFF"/>
        </w:rPr>
      </w:pPr>
      <w:r w:rsidRPr="007640EF">
        <w:rPr>
          <w:rFonts w:cs="Times New Roman"/>
          <w:i/>
          <w:sz w:val="24"/>
          <w:szCs w:val="24"/>
        </w:rPr>
        <w:t>It is an investment program funded by shareholders that trades in diversified holdings and is professional</w:t>
      </w:r>
      <w:r w:rsidR="000F3714">
        <w:rPr>
          <w:rFonts w:cs="Times New Roman"/>
          <w:i/>
          <w:sz w:val="24"/>
          <w:szCs w:val="24"/>
        </w:rPr>
        <w:t>ly</w:t>
      </w:r>
      <w:r w:rsidRPr="007640EF">
        <w:rPr>
          <w:rFonts w:cs="Times New Roman"/>
          <w:i/>
          <w:sz w:val="24"/>
          <w:szCs w:val="24"/>
        </w:rPr>
        <w:t xml:space="preserve"> managed. The SEC states: “</w:t>
      </w:r>
      <w:r w:rsidRPr="007640EF">
        <w:rPr>
          <w:rFonts w:cs="Times New Roman"/>
          <w:i/>
          <w:color w:val="000000"/>
          <w:sz w:val="24"/>
          <w:szCs w:val="24"/>
        </w:rPr>
        <w:t xml:space="preserve">A mutual fund is a type of </w:t>
      </w:r>
      <w:proofErr w:type="gramStart"/>
      <w:r w:rsidRPr="007640EF">
        <w:rPr>
          <w:rFonts w:cs="Times New Roman"/>
          <w:i/>
          <w:color w:val="000000"/>
          <w:sz w:val="24"/>
          <w:szCs w:val="24"/>
        </w:rPr>
        <w:t>investment company</w:t>
      </w:r>
      <w:proofErr w:type="gramEnd"/>
      <w:r w:rsidRPr="007640EF">
        <w:rPr>
          <w:rFonts w:cs="Times New Roman"/>
          <w:i/>
          <w:color w:val="000000"/>
          <w:sz w:val="24"/>
          <w:szCs w:val="24"/>
        </w:rPr>
        <w:t xml:space="preserve"> that pools money from many investors and invests the money in stocks, bonds, money-market instruments, other securities, or even cash.</w:t>
      </w:r>
      <w:r w:rsidRPr="007640EF">
        <w:rPr>
          <w:rStyle w:val="apple-converted-space"/>
          <w:rFonts w:cs="Times New Roman"/>
          <w:i/>
          <w:color w:val="000000"/>
          <w:sz w:val="24"/>
          <w:szCs w:val="24"/>
        </w:rPr>
        <w:t>”</w:t>
      </w:r>
      <w:r w:rsidRPr="007640EF">
        <w:rPr>
          <w:rStyle w:val="apple-converted-space"/>
          <w:rFonts w:cs="Times New Roman"/>
          <w:i/>
          <w:color w:val="000000"/>
          <w:sz w:val="24"/>
          <w:szCs w:val="24"/>
          <w:shd w:val="clear" w:color="auto" w:fill="FFFFFF"/>
        </w:rPr>
        <w:t xml:space="preserve"> </w:t>
      </w:r>
    </w:p>
    <w:p w:rsidR="007640EF" w:rsidRDefault="007640EF">
      <w:pPr>
        <w:rPr>
          <w:b/>
          <w:i/>
          <w:color w:val="17365D" w:themeColor="text2" w:themeShade="BF"/>
          <w:sz w:val="28"/>
        </w:rPr>
      </w:pPr>
    </w:p>
    <w:p w:rsidR="007115D3" w:rsidRPr="00302373" w:rsidRDefault="007115D3">
      <w:pPr>
        <w:rPr>
          <w:b/>
          <w:color w:val="17365D" w:themeColor="text2" w:themeShade="BF"/>
          <w:sz w:val="28"/>
        </w:rPr>
      </w:pPr>
      <w:r w:rsidRPr="00302373">
        <w:rPr>
          <w:b/>
          <w:color w:val="17365D" w:themeColor="text2" w:themeShade="BF"/>
          <w:sz w:val="28"/>
        </w:rPr>
        <w:t>Public officials must disclose financial holdings</w:t>
      </w:r>
      <w:r w:rsidR="007640EF" w:rsidRPr="00302373">
        <w:rPr>
          <w:b/>
          <w:color w:val="17365D" w:themeColor="text2" w:themeShade="BF"/>
          <w:sz w:val="28"/>
        </w:rPr>
        <w:t xml:space="preserve"> and relationships</w:t>
      </w:r>
    </w:p>
    <w:p w:rsidR="007115D3" w:rsidRDefault="007115D3" w:rsidP="008A7E9F">
      <w:pPr>
        <w:ind w:firstLine="630"/>
        <w:rPr>
          <w:rFonts w:ascii="Times New Roman" w:hAnsi="Times New Roman" w:cs="Times New Roman"/>
          <w:sz w:val="24"/>
          <w:szCs w:val="24"/>
        </w:rPr>
      </w:pPr>
      <w:r w:rsidRPr="00CC11AC">
        <w:rPr>
          <w:rFonts w:ascii="Times New Roman" w:hAnsi="Times New Roman" w:cs="Times New Roman"/>
          <w:sz w:val="24"/>
          <w:szCs w:val="24"/>
        </w:rPr>
        <w:t>Public officials are required to disclose</w:t>
      </w:r>
      <w:r w:rsidRPr="007D0D70">
        <w:rPr>
          <w:rFonts w:ascii="Times New Roman" w:hAnsi="Times New Roman" w:cs="Times New Roman"/>
          <w:sz w:val="24"/>
          <w:szCs w:val="24"/>
        </w:rPr>
        <w:t xml:space="preserve"> their financial holdings annually so that parties relying on their </w:t>
      </w:r>
      <w:r w:rsidRPr="0091662C">
        <w:rPr>
          <w:rFonts w:ascii="Times New Roman" w:hAnsi="Times New Roman" w:cs="Times New Roman"/>
          <w:i/>
          <w:sz w:val="24"/>
          <w:szCs w:val="24"/>
        </w:rPr>
        <w:t>impartiality</w:t>
      </w:r>
      <w:r w:rsidRPr="007D0D70">
        <w:rPr>
          <w:rFonts w:ascii="Times New Roman" w:hAnsi="Times New Roman" w:cs="Times New Roman"/>
          <w:sz w:val="24"/>
          <w:szCs w:val="24"/>
        </w:rPr>
        <w:t xml:space="preserve"> know when their judgments could be biased by their personal financial interest in on</w:t>
      </w:r>
      <w:r w:rsidR="00F66B2F">
        <w:rPr>
          <w:rFonts w:ascii="Times New Roman" w:hAnsi="Times New Roman" w:cs="Times New Roman"/>
          <w:sz w:val="24"/>
          <w:szCs w:val="24"/>
        </w:rPr>
        <w:t>e</w:t>
      </w:r>
      <w:r w:rsidRPr="007D0D70">
        <w:rPr>
          <w:rFonts w:ascii="Times New Roman" w:hAnsi="Times New Roman" w:cs="Times New Roman"/>
          <w:sz w:val="24"/>
          <w:szCs w:val="24"/>
        </w:rPr>
        <w:t xml:space="preserve"> party or the other.</w:t>
      </w:r>
    </w:p>
    <w:p w:rsidR="00DF67E1" w:rsidRPr="00DF67E1" w:rsidRDefault="00DF67E1" w:rsidP="001D07F6">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jc w:val="center"/>
        <w:rPr>
          <w:rFonts w:cs="Times New Roman"/>
          <w:b/>
          <w:sz w:val="6"/>
          <w:szCs w:val="24"/>
        </w:rPr>
      </w:pPr>
    </w:p>
    <w:p w:rsidR="001D07F6" w:rsidRPr="0091662C" w:rsidRDefault="001D07F6" w:rsidP="001D07F6">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jc w:val="center"/>
        <w:rPr>
          <w:rFonts w:ascii="Arial Narrow" w:hAnsi="Arial Narrow" w:cs="Times New Roman"/>
          <w:b/>
          <w:sz w:val="32"/>
          <w:szCs w:val="24"/>
        </w:rPr>
      </w:pPr>
      <w:r w:rsidRPr="0091662C">
        <w:rPr>
          <w:rFonts w:ascii="Arial Narrow" w:hAnsi="Arial Narrow" w:cs="Times New Roman"/>
          <w:b/>
          <w:color w:val="C00000"/>
          <w:sz w:val="32"/>
          <w:szCs w:val="24"/>
        </w:rPr>
        <w:t>Public officials, conflicts of interest, impartiality, and who gets to choose</w:t>
      </w:r>
    </w:p>
    <w:p w:rsidR="001D07F6" w:rsidRDefault="001D07F6" w:rsidP="008A7E9F">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firstLine="720"/>
        <w:rPr>
          <w:rFonts w:cs="Times New Roman"/>
          <w:sz w:val="24"/>
          <w:szCs w:val="24"/>
        </w:rPr>
      </w:pPr>
      <w:r w:rsidRPr="001D07F6">
        <w:rPr>
          <w:rFonts w:cs="Times New Roman"/>
          <w:sz w:val="24"/>
          <w:szCs w:val="24"/>
        </w:rPr>
        <w:t xml:space="preserve">When a public official has a financial holding in one of the parties coming before </w:t>
      </w:r>
      <w:r w:rsidR="00CC11AC">
        <w:rPr>
          <w:rFonts w:cs="Times New Roman"/>
          <w:sz w:val="24"/>
          <w:szCs w:val="24"/>
        </w:rPr>
        <w:t>him</w:t>
      </w:r>
      <w:r w:rsidRPr="001D07F6">
        <w:rPr>
          <w:rFonts w:cs="Times New Roman"/>
          <w:sz w:val="24"/>
          <w:szCs w:val="24"/>
        </w:rPr>
        <w:t xml:space="preserve">, </w:t>
      </w:r>
      <w:r>
        <w:rPr>
          <w:rFonts w:cs="Times New Roman"/>
          <w:sz w:val="24"/>
          <w:szCs w:val="24"/>
        </w:rPr>
        <w:t>that official</w:t>
      </w:r>
      <w:r w:rsidRPr="001D07F6">
        <w:rPr>
          <w:rFonts w:cs="Times New Roman"/>
          <w:sz w:val="24"/>
          <w:szCs w:val="24"/>
        </w:rPr>
        <w:t xml:space="preserve"> </w:t>
      </w:r>
      <w:r>
        <w:rPr>
          <w:rFonts w:cs="Times New Roman"/>
          <w:sz w:val="24"/>
          <w:szCs w:val="24"/>
        </w:rPr>
        <w:t>has</w:t>
      </w:r>
      <w:r w:rsidRPr="001D07F6">
        <w:rPr>
          <w:rFonts w:cs="Times New Roman"/>
          <w:sz w:val="24"/>
          <w:szCs w:val="24"/>
        </w:rPr>
        <w:t xml:space="preserve"> a </w:t>
      </w:r>
      <w:r>
        <w:rPr>
          <w:rFonts w:cs="Times New Roman"/>
          <w:sz w:val="24"/>
          <w:szCs w:val="24"/>
        </w:rPr>
        <w:t xml:space="preserve">sworn </w:t>
      </w:r>
      <w:r w:rsidRPr="001D07F6">
        <w:rPr>
          <w:rFonts w:cs="Times New Roman"/>
          <w:sz w:val="24"/>
          <w:szCs w:val="24"/>
        </w:rPr>
        <w:t>duty to disclose that financial holding to the parties</w:t>
      </w:r>
      <w:r>
        <w:rPr>
          <w:rFonts w:cs="Times New Roman"/>
          <w:sz w:val="24"/>
          <w:szCs w:val="24"/>
        </w:rPr>
        <w:t xml:space="preserve">. It is the official’s duty to disclose any matter that </w:t>
      </w:r>
      <w:r w:rsidRPr="001D07F6">
        <w:rPr>
          <w:rFonts w:cs="Times New Roman"/>
          <w:i/>
          <w:sz w:val="24"/>
          <w:szCs w:val="24"/>
        </w:rPr>
        <w:t>might</w:t>
      </w:r>
      <w:r>
        <w:rPr>
          <w:rFonts w:cs="Times New Roman"/>
          <w:sz w:val="24"/>
          <w:szCs w:val="24"/>
        </w:rPr>
        <w:t xml:space="preserve"> affect that official’s impartiality. </w:t>
      </w:r>
      <w:r w:rsidRPr="000F3714">
        <w:rPr>
          <w:rFonts w:cs="Times New Roman"/>
          <w:b/>
          <w:sz w:val="24"/>
          <w:szCs w:val="24"/>
        </w:rPr>
        <w:t>It is not the duty of the parties to discover this information; it is the duty of the official to DISCLOSE the information.</w:t>
      </w:r>
      <w:r>
        <w:rPr>
          <w:rFonts w:cs="Times New Roman"/>
          <w:sz w:val="24"/>
          <w:szCs w:val="24"/>
        </w:rPr>
        <w:t xml:space="preserve"> </w:t>
      </w:r>
      <w:r w:rsidRPr="001D07F6">
        <w:rPr>
          <w:rFonts w:cs="Times New Roman"/>
          <w:sz w:val="24"/>
          <w:szCs w:val="24"/>
        </w:rPr>
        <w:t>If the parties mutually agree to allow the official to remain, then that is their choice. However, if either party believes that the conflict could affect that official’s impartiality, then that official must disqualify themselves from participating further.</w:t>
      </w:r>
    </w:p>
    <w:p w:rsidR="001D07F6" w:rsidRPr="001D07F6" w:rsidRDefault="001D07F6" w:rsidP="0091662C">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firstLine="720"/>
        <w:rPr>
          <w:rFonts w:cs="Times New Roman"/>
          <w:sz w:val="24"/>
          <w:szCs w:val="24"/>
        </w:rPr>
      </w:pPr>
      <w:r>
        <w:rPr>
          <w:rFonts w:cs="Times New Roman"/>
          <w:sz w:val="24"/>
          <w:szCs w:val="24"/>
        </w:rPr>
        <w:t>Former Ohio attorney general Betty Montgomery failed this test in the OSU Marching Band scandal. See below.</w:t>
      </w:r>
    </w:p>
    <w:p w:rsidR="007115D3" w:rsidRPr="009A3156" w:rsidRDefault="007115D3">
      <w:pPr>
        <w:rPr>
          <w:b/>
          <w:color w:val="17365D" w:themeColor="text2" w:themeShade="BF"/>
          <w:sz w:val="28"/>
        </w:rPr>
      </w:pPr>
      <w:r w:rsidRPr="009A3156">
        <w:rPr>
          <w:b/>
          <w:color w:val="17365D" w:themeColor="text2" w:themeShade="BF"/>
          <w:sz w:val="28"/>
        </w:rPr>
        <w:t>The mutual fund shell game</w:t>
      </w:r>
    </w:p>
    <w:p w:rsidR="007115D3" w:rsidRPr="007D0D70" w:rsidRDefault="0091662C" w:rsidP="008A7E9F">
      <w:pPr>
        <w:ind w:firstLine="720"/>
        <w:rPr>
          <w:rFonts w:ascii="Times New Roman" w:hAnsi="Times New Roman" w:cs="Times New Roman"/>
          <w:sz w:val="24"/>
          <w:szCs w:val="24"/>
        </w:rPr>
      </w:pPr>
      <w:r>
        <w:rPr>
          <w:rFonts w:ascii="Times New Roman" w:hAnsi="Times New Roman" w:cs="Times New Roman"/>
          <w:sz w:val="24"/>
          <w:szCs w:val="24"/>
        </w:rPr>
        <w:t xml:space="preserve">Lawyers have injected into the state and national ethics law a deceptive and vaguely worded </w:t>
      </w:r>
      <w:r w:rsidR="007115D3" w:rsidRPr="007D0D70">
        <w:rPr>
          <w:rFonts w:ascii="Times New Roman" w:hAnsi="Times New Roman" w:cs="Times New Roman"/>
          <w:sz w:val="24"/>
          <w:szCs w:val="24"/>
        </w:rPr>
        <w:t xml:space="preserve">exemption from disclosure of the stocks in the mutual fund when the holder “does not personally direct the fund.” </w:t>
      </w:r>
      <w:r w:rsidR="007115D3" w:rsidRPr="00E8215E">
        <w:rPr>
          <w:rFonts w:ascii="Times New Roman" w:hAnsi="Times New Roman" w:cs="Times New Roman"/>
          <w:b/>
          <w:color w:val="FF0000"/>
          <w:sz w:val="24"/>
          <w:szCs w:val="24"/>
          <w:u w:val="single"/>
        </w:rPr>
        <w:t>This exemption is meaningless</w:t>
      </w:r>
      <w:r w:rsidR="007115D3" w:rsidRPr="00E8215E">
        <w:rPr>
          <w:rFonts w:ascii="Times New Roman" w:hAnsi="Times New Roman" w:cs="Times New Roman"/>
          <w:color w:val="FF0000"/>
          <w:sz w:val="24"/>
          <w:szCs w:val="24"/>
        </w:rPr>
        <w:t xml:space="preserve"> </w:t>
      </w:r>
      <w:r w:rsidR="007115D3" w:rsidRPr="007D0D70">
        <w:rPr>
          <w:rFonts w:ascii="Times New Roman" w:hAnsi="Times New Roman" w:cs="Times New Roman"/>
          <w:sz w:val="24"/>
          <w:szCs w:val="24"/>
        </w:rPr>
        <w:t>because the very act of purchasing the fund is a personal direction to select one fund over the thousands of choices.</w:t>
      </w:r>
      <w:r w:rsidR="00F66B2F">
        <w:rPr>
          <w:rFonts w:ascii="Times New Roman" w:hAnsi="Times New Roman" w:cs="Times New Roman"/>
          <w:sz w:val="24"/>
          <w:szCs w:val="24"/>
        </w:rPr>
        <w:t xml:space="preserve"> </w:t>
      </w:r>
    </w:p>
    <w:p w:rsidR="007115D3" w:rsidRPr="009A3156" w:rsidRDefault="007115D3" w:rsidP="001D07F6">
      <w:pPr>
        <w:keepNext/>
        <w:keepLines/>
        <w:rPr>
          <w:b/>
          <w:color w:val="17365D" w:themeColor="text2" w:themeShade="BF"/>
          <w:sz w:val="28"/>
        </w:rPr>
      </w:pPr>
      <w:r w:rsidRPr="009A3156">
        <w:rPr>
          <w:b/>
          <w:color w:val="17365D" w:themeColor="text2" w:themeShade="BF"/>
          <w:sz w:val="28"/>
        </w:rPr>
        <w:lastRenderedPageBreak/>
        <w:t>Legalized payola</w:t>
      </w:r>
    </w:p>
    <w:p w:rsidR="007115D3" w:rsidRPr="007D0D70" w:rsidRDefault="007115D3" w:rsidP="008A7E9F">
      <w:pPr>
        <w:keepNext/>
        <w:keepLines/>
        <w:ind w:firstLine="720"/>
        <w:rPr>
          <w:rFonts w:ascii="Times New Roman" w:hAnsi="Times New Roman" w:cs="Times New Roman"/>
          <w:sz w:val="24"/>
          <w:szCs w:val="24"/>
        </w:rPr>
      </w:pPr>
      <w:r w:rsidRPr="007D0D70">
        <w:rPr>
          <w:rFonts w:ascii="Times New Roman" w:hAnsi="Times New Roman" w:cs="Times New Roman"/>
          <w:sz w:val="24"/>
          <w:szCs w:val="24"/>
        </w:rPr>
        <w:t xml:space="preserve">Judges, politicians and bureaucrats all invest heavily in mutual funds. Judges </w:t>
      </w:r>
      <w:r w:rsidR="00E35FD1">
        <w:rPr>
          <w:rFonts w:ascii="Times New Roman" w:hAnsi="Times New Roman" w:cs="Times New Roman"/>
          <w:sz w:val="24"/>
          <w:szCs w:val="24"/>
        </w:rPr>
        <w:t xml:space="preserve">often </w:t>
      </w:r>
      <w:r w:rsidRPr="007D0D70">
        <w:rPr>
          <w:rFonts w:ascii="Times New Roman" w:hAnsi="Times New Roman" w:cs="Times New Roman"/>
          <w:sz w:val="24"/>
          <w:szCs w:val="24"/>
        </w:rPr>
        <w:t>use the disclosure exemption and fail to disclose when their mutual fund holds stock in one of the litigants</w:t>
      </w:r>
      <w:r w:rsidR="00E35FD1">
        <w:rPr>
          <w:rFonts w:ascii="Times New Roman" w:hAnsi="Times New Roman" w:cs="Times New Roman"/>
          <w:sz w:val="24"/>
          <w:szCs w:val="24"/>
        </w:rPr>
        <w:t xml:space="preserve">. </w:t>
      </w:r>
      <w:r w:rsidR="000F3714">
        <w:rPr>
          <w:rFonts w:ascii="Times New Roman" w:hAnsi="Times New Roman" w:cs="Times New Roman"/>
          <w:sz w:val="24"/>
          <w:szCs w:val="24"/>
        </w:rPr>
        <w:t xml:space="preserve">The Judicial Conference lists pages of circumstances where mutual fund stocks must be disclosed. However, judges hide behind their claim not to have to disclose.  </w:t>
      </w:r>
    </w:p>
    <w:p w:rsidR="007115D3" w:rsidRPr="007D0D70" w:rsidRDefault="000F3714" w:rsidP="008A7E9F">
      <w:pPr>
        <w:ind w:firstLine="720"/>
        <w:rPr>
          <w:rFonts w:ascii="Times New Roman" w:hAnsi="Times New Roman" w:cs="Times New Roman"/>
          <w:sz w:val="24"/>
          <w:szCs w:val="24"/>
        </w:rPr>
      </w:pPr>
      <w:r>
        <w:rPr>
          <w:rFonts w:ascii="Times New Roman" w:hAnsi="Times New Roman" w:cs="Times New Roman"/>
          <w:sz w:val="24"/>
          <w:szCs w:val="24"/>
        </w:rPr>
        <w:t xml:space="preserve">Mutual fund managers tip politicians about upcoming boosts in value for particular funds in exchange for favors.  </w:t>
      </w:r>
      <w:r w:rsidR="007115D3" w:rsidRPr="007D0D70">
        <w:rPr>
          <w:rFonts w:ascii="Times New Roman" w:hAnsi="Times New Roman" w:cs="Times New Roman"/>
          <w:sz w:val="24"/>
          <w:szCs w:val="24"/>
        </w:rPr>
        <w:t xml:space="preserve">This is how politicians </w:t>
      </w:r>
      <w:r w:rsidR="00E35FD1">
        <w:rPr>
          <w:rFonts w:ascii="Times New Roman" w:hAnsi="Times New Roman" w:cs="Times New Roman"/>
          <w:sz w:val="24"/>
          <w:szCs w:val="24"/>
        </w:rPr>
        <w:t xml:space="preserve">and judges </w:t>
      </w:r>
      <w:r w:rsidR="007115D3" w:rsidRPr="007D0D70">
        <w:rPr>
          <w:rFonts w:ascii="Times New Roman" w:hAnsi="Times New Roman" w:cs="Times New Roman"/>
          <w:sz w:val="24"/>
          <w:szCs w:val="24"/>
        </w:rPr>
        <w:t xml:space="preserve">can go to Washington and become </w:t>
      </w:r>
      <w:r>
        <w:rPr>
          <w:rFonts w:ascii="Times New Roman" w:hAnsi="Times New Roman" w:cs="Times New Roman"/>
          <w:sz w:val="24"/>
          <w:szCs w:val="24"/>
        </w:rPr>
        <w:t xml:space="preserve">magically </w:t>
      </w:r>
      <w:r w:rsidR="007115D3" w:rsidRPr="007D0D70">
        <w:rPr>
          <w:rFonts w:ascii="Times New Roman" w:hAnsi="Times New Roman" w:cs="Times New Roman"/>
          <w:sz w:val="24"/>
          <w:szCs w:val="24"/>
        </w:rPr>
        <w:t>wealthy in a few years.</w:t>
      </w:r>
    </w:p>
    <w:p w:rsidR="00A45E30" w:rsidRPr="009A3156" w:rsidRDefault="00A45E30" w:rsidP="007D0D70">
      <w:pPr>
        <w:keepNext/>
        <w:keepLines/>
        <w:rPr>
          <w:b/>
          <w:color w:val="17365D" w:themeColor="text2" w:themeShade="BF"/>
          <w:sz w:val="28"/>
        </w:rPr>
      </w:pPr>
      <w:r w:rsidRPr="009A3156">
        <w:rPr>
          <w:b/>
          <w:color w:val="17365D" w:themeColor="text2" w:themeShade="BF"/>
          <w:sz w:val="28"/>
        </w:rPr>
        <w:t>The mutual fund exemption has become a blanket for insider stock tips</w:t>
      </w:r>
    </w:p>
    <w:p w:rsidR="00A45E30" w:rsidRPr="007D0D70" w:rsidRDefault="00A45E30" w:rsidP="008A7E9F">
      <w:pPr>
        <w:keepNext/>
        <w:keepLines/>
        <w:ind w:firstLine="630"/>
        <w:rPr>
          <w:rFonts w:ascii="Times New Roman" w:hAnsi="Times New Roman" w:cs="Times New Roman"/>
          <w:sz w:val="24"/>
          <w:szCs w:val="24"/>
        </w:rPr>
      </w:pPr>
      <w:r w:rsidRPr="007D0D70">
        <w:rPr>
          <w:rFonts w:ascii="Times New Roman" w:hAnsi="Times New Roman" w:cs="Times New Roman"/>
          <w:sz w:val="24"/>
          <w:szCs w:val="24"/>
        </w:rPr>
        <w:t xml:space="preserve">Business and politics have become corrupted by this </w:t>
      </w:r>
      <w:r w:rsidR="00CC11AC">
        <w:rPr>
          <w:rFonts w:ascii="Times New Roman" w:hAnsi="Times New Roman" w:cs="Times New Roman"/>
          <w:sz w:val="24"/>
          <w:szCs w:val="24"/>
        </w:rPr>
        <w:t>manipulation of the mutual fund disclosure rules</w:t>
      </w:r>
      <w:r w:rsidRPr="007D0D70">
        <w:rPr>
          <w:rFonts w:ascii="Times New Roman" w:hAnsi="Times New Roman" w:cs="Times New Roman"/>
          <w:sz w:val="24"/>
          <w:szCs w:val="24"/>
        </w:rPr>
        <w:t xml:space="preserve">. The </w:t>
      </w:r>
      <w:r w:rsidRPr="00E35FD1">
        <w:rPr>
          <w:rFonts w:ascii="Times New Roman" w:hAnsi="Times New Roman" w:cs="Times New Roman"/>
          <w:i/>
          <w:sz w:val="24"/>
          <w:szCs w:val="24"/>
        </w:rPr>
        <w:t>have’s</w:t>
      </w:r>
      <w:r w:rsidRPr="007D0D70">
        <w:rPr>
          <w:rFonts w:ascii="Times New Roman" w:hAnsi="Times New Roman" w:cs="Times New Roman"/>
          <w:sz w:val="24"/>
          <w:szCs w:val="24"/>
        </w:rPr>
        <w:t xml:space="preserve"> benefit from the insider tips, the </w:t>
      </w:r>
      <w:r w:rsidRPr="00E35FD1">
        <w:rPr>
          <w:rFonts w:ascii="Times New Roman" w:hAnsi="Times New Roman" w:cs="Times New Roman"/>
          <w:i/>
          <w:sz w:val="24"/>
          <w:szCs w:val="24"/>
        </w:rPr>
        <w:t>have not’s</w:t>
      </w:r>
      <w:r w:rsidRPr="007D0D70">
        <w:rPr>
          <w:rFonts w:ascii="Times New Roman" w:hAnsi="Times New Roman" w:cs="Times New Roman"/>
          <w:sz w:val="24"/>
          <w:szCs w:val="24"/>
        </w:rPr>
        <w:t xml:space="preserve"> </w:t>
      </w:r>
      <w:r w:rsidR="00CC11AC">
        <w:rPr>
          <w:rFonts w:ascii="Times New Roman" w:hAnsi="Times New Roman" w:cs="Times New Roman"/>
          <w:sz w:val="24"/>
          <w:szCs w:val="24"/>
        </w:rPr>
        <w:t>pay for it and are the victims.</w:t>
      </w:r>
    </w:p>
    <w:p w:rsidR="00A45E30" w:rsidRPr="009A3156" w:rsidRDefault="007D0D70">
      <w:pPr>
        <w:rPr>
          <w:b/>
          <w:color w:val="17365D" w:themeColor="text2" w:themeShade="BF"/>
          <w:sz w:val="28"/>
        </w:rPr>
      </w:pPr>
      <w:r w:rsidRPr="009A3156">
        <w:rPr>
          <w:b/>
          <w:color w:val="17365D" w:themeColor="text2" w:themeShade="BF"/>
          <w:sz w:val="28"/>
        </w:rPr>
        <w:t>US ethics l</w:t>
      </w:r>
      <w:r w:rsidR="00A45E30" w:rsidRPr="009A3156">
        <w:rPr>
          <w:b/>
          <w:color w:val="17365D" w:themeColor="text2" w:themeShade="BF"/>
          <w:sz w:val="28"/>
        </w:rPr>
        <w:t xml:space="preserve">aw on </w:t>
      </w:r>
      <w:r w:rsidR="002E4AA6" w:rsidRPr="009A3156">
        <w:rPr>
          <w:b/>
          <w:color w:val="17365D" w:themeColor="text2" w:themeShade="BF"/>
          <w:sz w:val="28"/>
        </w:rPr>
        <w:t xml:space="preserve">mutual fund </w:t>
      </w:r>
      <w:r w:rsidR="00A45E30" w:rsidRPr="009A3156">
        <w:rPr>
          <w:b/>
          <w:color w:val="17365D" w:themeColor="text2" w:themeShade="BF"/>
          <w:sz w:val="28"/>
        </w:rPr>
        <w:t xml:space="preserve">exemptions </w:t>
      </w:r>
      <w:r w:rsidR="0091662C">
        <w:rPr>
          <w:b/>
          <w:color w:val="17365D" w:themeColor="text2" w:themeShade="BF"/>
          <w:sz w:val="28"/>
        </w:rPr>
        <w:t>from</w:t>
      </w:r>
      <w:r w:rsidRPr="009A3156">
        <w:rPr>
          <w:b/>
          <w:color w:val="17365D" w:themeColor="text2" w:themeShade="BF"/>
          <w:sz w:val="28"/>
        </w:rPr>
        <w:t xml:space="preserve"> reporting </w:t>
      </w:r>
      <w:r w:rsidR="00A45E30" w:rsidRPr="009A3156">
        <w:rPr>
          <w:b/>
          <w:color w:val="17365D" w:themeColor="text2" w:themeShade="BF"/>
          <w:sz w:val="28"/>
        </w:rPr>
        <w:t>has legitimized insider trading among the judiciary, Wall Street and Washington, D.C.</w:t>
      </w:r>
    </w:p>
    <w:p w:rsidR="00A45E30" w:rsidRPr="007D0D70" w:rsidRDefault="002E4AA6" w:rsidP="008A7E9F">
      <w:pPr>
        <w:ind w:firstLine="630"/>
        <w:rPr>
          <w:rFonts w:ascii="Times New Roman" w:hAnsi="Times New Roman" w:cs="Times New Roman"/>
          <w:sz w:val="24"/>
          <w:szCs w:val="24"/>
        </w:rPr>
      </w:pPr>
      <w:r w:rsidRPr="007D0D70">
        <w:rPr>
          <w:rFonts w:ascii="Times New Roman" w:hAnsi="Times New Roman" w:cs="Times New Roman"/>
          <w:sz w:val="24"/>
          <w:szCs w:val="24"/>
        </w:rPr>
        <w:t>Confront most politicians and judges about the stock held by their mutual funds</w:t>
      </w:r>
      <w:r w:rsidR="00E35FD1">
        <w:rPr>
          <w:rFonts w:ascii="Times New Roman" w:hAnsi="Times New Roman" w:cs="Times New Roman"/>
          <w:sz w:val="24"/>
          <w:szCs w:val="24"/>
        </w:rPr>
        <w:t>,</w:t>
      </w:r>
      <w:r w:rsidRPr="007D0D70">
        <w:rPr>
          <w:rFonts w:ascii="Times New Roman" w:hAnsi="Times New Roman" w:cs="Times New Roman"/>
          <w:sz w:val="24"/>
          <w:szCs w:val="24"/>
        </w:rPr>
        <w:t xml:space="preserve"> and they will claim </w:t>
      </w:r>
      <w:r w:rsidR="00E35FD1">
        <w:rPr>
          <w:rFonts w:ascii="Times New Roman" w:hAnsi="Times New Roman" w:cs="Times New Roman"/>
          <w:sz w:val="24"/>
          <w:szCs w:val="24"/>
        </w:rPr>
        <w:t xml:space="preserve">that </w:t>
      </w:r>
      <w:r w:rsidRPr="007D0D70">
        <w:rPr>
          <w:rFonts w:ascii="Times New Roman" w:hAnsi="Times New Roman" w:cs="Times New Roman"/>
          <w:sz w:val="24"/>
          <w:szCs w:val="24"/>
        </w:rPr>
        <w:t xml:space="preserve">they </w:t>
      </w:r>
      <w:r w:rsidR="00E35FD1">
        <w:rPr>
          <w:rFonts w:ascii="Times New Roman" w:hAnsi="Times New Roman" w:cs="Times New Roman"/>
          <w:sz w:val="24"/>
          <w:szCs w:val="24"/>
        </w:rPr>
        <w:t xml:space="preserve">are not required to </w:t>
      </w:r>
      <w:r w:rsidRPr="007D0D70">
        <w:rPr>
          <w:rFonts w:ascii="Times New Roman" w:hAnsi="Times New Roman" w:cs="Times New Roman"/>
          <w:sz w:val="24"/>
          <w:szCs w:val="24"/>
        </w:rPr>
        <w:t xml:space="preserve">disclose them. They’ll feign ignorance and say they don’t know what’s in them. </w:t>
      </w:r>
    </w:p>
    <w:p w:rsidR="002E4AA6" w:rsidRPr="007D0D70" w:rsidRDefault="00CC11AC" w:rsidP="008A7E9F">
      <w:pPr>
        <w:ind w:firstLine="630"/>
        <w:rPr>
          <w:rFonts w:ascii="Times New Roman" w:hAnsi="Times New Roman" w:cs="Times New Roman"/>
          <w:sz w:val="24"/>
          <w:szCs w:val="24"/>
        </w:rPr>
      </w:pPr>
      <w:r>
        <w:rPr>
          <w:rFonts w:ascii="Times New Roman" w:hAnsi="Times New Roman" w:cs="Times New Roman"/>
          <w:sz w:val="24"/>
          <w:szCs w:val="24"/>
        </w:rPr>
        <w:t>T</w:t>
      </w:r>
      <w:r w:rsidR="00E35FD1">
        <w:rPr>
          <w:rFonts w:ascii="Times New Roman" w:hAnsi="Times New Roman" w:cs="Times New Roman"/>
          <w:sz w:val="24"/>
          <w:szCs w:val="24"/>
        </w:rPr>
        <w:t xml:space="preserve">hree telling things </w:t>
      </w:r>
      <w:proofErr w:type="gramStart"/>
      <w:r w:rsidR="00E35FD1">
        <w:rPr>
          <w:rFonts w:ascii="Times New Roman" w:hAnsi="Times New Roman" w:cs="Times New Roman"/>
          <w:sz w:val="24"/>
          <w:szCs w:val="24"/>
        </w:rPr>
        <w:t>that are</w:t>
      </w:r>
      <w:proofErr w:type="gramEnd"/>
      <w:r w:rsidR="00E35FD1">
        <w:rPr>
          <w:rFonts w:ascii="Times New Roman" w:hAnsi="Times New Roman" w:cs="Times New Roman"/>
          <w:sz w:val="24"/>
          <w:szCs w:val="24"/>
        </w:rPr>
        <w:t xml:space="preserve"> wrong with </w:t>
      </w:r>
      <w:r w:rsidR="0082074D" w:rsidRPr="007D0D70">
        <w:rPr>
          <w:rFonts w:ascii="Times New Roman" w:hAnsi="Times New Roman" w:cs="Times New Roman"/>
          <w:sz w:val="24"/>
          <w:szCs w:val="24"/>
        </w:rPr>
        <w:t>that response:</w:t>
      </w:r>
    </w:p>
    <w:p w:rsidR="0082074D" w:rsidRPr="007D0D70" w:rsidRDefault="00E35FD1" w:rsidP="007D0D7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The person is </w:t>
      </w:r>
      <w:r w:rsidR="0082074D" w:rsidRPr="007D0D70">
        <w:rPr>
          <w:rFonts w:ascii="Times New Roman" w:hAnsi="Times New Roman" w:cs="Times New Roman"/>
          <w:sz w:val="24"/>
          <w:szCs w:val="24"/>
        </w:rPr>
        <w:t xml:space="preserve">admitting </w:t>
      </w:r>
      <w:r>
        <w:rPr>
          <w:rFonts w:ascii="Times New Roman" w:hAnsi="Times New Roman" w:cs="Times New Roman"/>
          <w:sz w:val="24"/>
          <w:szCs w:val="24"/>
        </w:rPr>
        <w:t xml:space="preserve">that he invests in funds without knowing anything about the stocks that comprise them. </w:t>
      </w:r>
      <w:r w:rsidR="0082074D" w:rsidRPr="007D0D70">
        <w:rPr>
          <w:rFonts w:ascii="Times New Roman" w:hAnsi="Times New Roman" w:cs="Times New Roman"/>
          <w:sz w:val="24"/>
          <w:szCs w:val="24"/>
        </w:rPr>
        <w:t xml:space="preserve">If this official </w:t>
      </w:r>
      <w:r>
        <w:rPr>
          <w:rFonts w:ascii="Times New Roman" w:hAnsi="Times New Roman" w:cs="Times New Roman"/>
          <w:sz w:val="24"/>
          <w:szCs w:val="24"/>
        </w:rPr>
        <w:t xml:space="preserve">is really that clueless, then why was he elected to </w:t>
      </w:r>
      <w:r w:rsidR="0082074D" w:rsidRPr="007D0D70">
        <w:rPr>
          <w:rFonts w:ascii="Times New Roman" w:hAnsi="Times New Roman" w:cs="Times New Roman"/>
          <w:sz w:val="24"/>
          <w:szCs w:val="24"/>
        </w:rPr>
        <w:t>steward</w:t>
      </w:r>
      <w:r>
        <w:rPr>
          <w:rFonts w:ascii="Times New Roman" w:hAnsi="Times New Roman" w:cs="Times New Roman"/>
          <w:sz w:val="24"/>
          <w:szCs w:val="24"/>
        </w:rPr>
        <w:t xml:space="preserve"> </w:t>
      </w:r>
      <w:r w:rsidR="0082074D" w:rsidRPr="007D0D70">
        <w:rPr>
          <w:rFonts w:ascii="Times New Roman" w:hAnsi="Times New Roman" w:cs="Times New Roman"/>
          <w:sz w:val="24"/>
          <w:szCs w:val="24"/>
        </w:rPr>
        <w:t>your tax dollars?</w:t>
      </w:r>
      <w:r w:rsidR="0091662C">
        <w:rPr>
          <w:rFonts w:ascii="Times New Roman" w:hAnsi="Times New Roman" w:cs="Times New Roman"/>
          <w:sz w:val="24"/>
          <w:szCs w:val="24"/>
        </w:rPr>
        <w:t xml:space="preserve"> Why is he a judge if he is so careless?</w:t>
      </w:r>
    </w:p>
    <w:p w:rsidR="0082074D" w:rsidRPr="007D0D70" w:rsidRDefault="00E35FD1" w:rsidP="007D0D7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The person </w:t>
      </w:r>
      <w:r w:rsidR="0082074D" w:rsidRPr="007D0D70">
        <w:rPr>
          <w:rFonts w:ascii="Times New Roman" w:hAnsi="Times New Roman" w:cs="Times New Roman"/>
          <w:sz w:val="24"/>
          <w:szCs w:val="24"/>
        </w:rPr>
        <w:t xml:space="preserve">chose certain mutual funds over thousands of choices, so the idea that </w:t>
      </w:r>
      <w:r>
        <w:rPr>
          <w:rFonts w:ascii="Times New Roman" w:hAnsi="Times New Roman" w:cs="Times New Roman"/>
          <w:sz w:val="24"/>
          <w:szCs w:val="24"/>
        </w:rPr>
        <w:t xml:space="preserve">he is </w:t>
      </w:r>
      <w:r w:rsidR="0082074D" w:rsidRPr="007D0D70">
        <w:rPr>
          <w:rFonts w:ascii="Times New Roman" w:hAnsi="Times New Roman" w:cs="Times New Roman"/>
          <w:sz w:val="24"/>
          <w:szCs w:val="24"/>
        </w:rPr>
        <w:t xml:space="preserve">not directing </w:t>
      </w:r>
      <w:r>
        <w:rPr>
          <w:rFonts w:ascii="Times New Roman" w:hAnsi="Times New Roman" w:cs="Times New Roman"/>
          <w:sz w:val="24"/>
          <w:szCs w:val="24"/>
        </w:rPr>
        <w:t>his</w:t>
      </w:r>
      <w:r w:rsidR="0082074D" w:rsidRPr="007D0D70">
        <w:rPr>
          <w:rFonts w:ascii="Times New Roman" w:hAnsi="Times New Roman" w:cs="Times New Roman"/>
          <w:sz w:val="24"/>
          <w:szCs w:val="24"/>
        </w:rPr>
        <w:t xml:space="preserve"> investing to certain </w:t>
      </w:r>
      <w:r w:rsidR="0091662C">
        <w:rPr>
          <w:rFonts w:ascii="Times New Roman" w:hAnsi="Times New Roman" w:cs="Times New Roman"/>
          <w:sz w:val="24"/>
          <w:szCs w:val="24"/>
        </w:rPr>
        <w:t>funds</w:t>
      </w:r>
      <w:r w:rsidR="0082074D" w:rsidRPr="007D0D70">
        <w:rPr>
          <w:rFonts w:ascii="Times New Roman" w:hAnsi="Times New Roman" w:cs="Times New Roman"/>
          <w:sz w:val="24"/>
          <w:szCs w:val="24"/>
        </w:rPr>
        <w:t xml:space="preserve"> and sectors </w:t>
      </w:r>
      <w:r>
        <w:rPr>
          <w:rFonts w:ascii="Times New Roman" w:hAnsi="Times New Roman" w:cs="Times New Roman"/>
          <w:sz w:val="24"/>
          <w:szCs w:val="24"/>
        </w:rPr>
        <w:t>is disingenuous</w:t>
      </w:r>
      <w:r w:rsidR="0082074D" w:rsidRPr="007D0D70">
        <w:rPr>
          <w:rFonts w:ascii="Times New Roman" w:hAnsi="Times New Roman" w:cs="Times New Roman"/>
          <w:sz w:val="24"/>
          <w:szCs w:val="24"/>
        </w:rPr>
        <w:t>.</w:t>
      </w:r>
    </w:p>
    <w:p w:rsidR="0082074D" w:rsidRPr="007D0D70" w:rsidRDefault="0082074D" w:rsidP="007D0D70">
      <w:pPr>
        <w:pStyle w:val="ListParagraph"/>
        <w:numPr>
          <w:ilvl w:val="0"/>
          <w:numId w:val="4"/>
        </w:numPr>
        <w:rPr>
          <w:rFonts w:ascii="Times New Roman" w:hAnsi="Times New Roman" w:cs="Times New Roman"/>
          <w:sz w:val="24"/>
          <w:szCs w:val="24"/>
        </w:rPr>
      </w:pPr>
      <w:r w:rsidRPr="007D0D70">
        <w:rPr>
          <w:rFonts w:ascii="Times New Roman" w:hAnsi="Times New Roman" w:cs="Times New Roman"/>
          <w:sz w:val="24"/>
          <w:szCs w:val="24"/>
        </w:rPr>
        <w:t xml:space="preserve">Ethics rules demand disclosure to avoid “even the appearance of impropriety.” In other words, you may not be biased, but </w:t>
      </w:r>
      <w:r w:rsidRPr="00CC11AC">
        <w:rPr>
          <w:rFonts w:ascii="Times New Roman" w:hAnsi="Times New Roman" w:cs="Times New Roman"/>
          <w:b/>
          <w:sz w:val="24"/>
          <w:szCs w:val="24"/>
        </w:rPr>
        <w:t>the appearance of bias dictates recusal</w:t>
      </w:r>
      <w:r w:rsidRPr="007D0D70">
        <w:rPr>
          <w:rFonts w:ascii="Times New Roman" w:hAnsi="Times New Roman" w:cs="Times New Roman"/>
          <w:sz w:val="24"/>
          <w:szCs w:val="24"/>
        </w:rPr>
        <w:t>.</w:t>
      </w:r>
      <w:r w:rsidR="00E35FD1">
        <w:rPr>
          <w:rFonts w:ascii="Times New Roman" w:hAnsi="Times New Roman" w:cs="Times New Roman"/>
          <w:sz w:val="24"/>
          <w:szCs w:val="24"/>
        </w:rPr>
        <w:t xml:space="preserve"> Therefore, the so-called mutual fund exemption is an empty shell</w:t>
      </w:r>
      <w:r w:rsidR="00CC11AC">
        <w:rPr>
          <w:rFonts w:ascii="Times New Roman" w:hAnsi="Times New Roman" w:cs="Times New Roman"/>
          <w:sz w:val="24"/>
          <w:szCs w:val="24"/>
        </w:rPr>
        <w:t xml:space="preserve"> </w:t>
      </w:r>
      <w:r w:rsidR="0091662C">
        <w:rPr>
          <w:rFonts w:ascii="Times New Roman" w:hAnsi="Times New Roman" w:cs="Times New Roman"/>
          <w:sz w:val="24"/>
          <w:szCs w:val="24"/>
        </w:rPr>
        <w:t xml:space="preserve">designed </w:t>
      </w:r>
      <w:r w:rsidR="00CC11AC">
        <w:rPr>
          <w:rFonts w:ascii="Times New Roman" w:hAnsi="Times New Roman" w:cs="Times New Roman"/>
          <w:sz w:val="24"/>
          <w:szCs w:val="24"/>
        </w:rPr>
        <w:t>to fool the masses</w:t>
      </w:r>
      <w:r w:rsidR="0091662C">
        <w:rPr>
          <w:rFonts w:ascii="Times New Roman" w:hAnsi="Times New Roman" w:cs="Times New Roman"/>
          <w:sz w:val="24"/>
          <w:szCs w:val="24"/>
        </w:rPr>
        <w:t>, nothing more. It does nothing but give insiders an excuse to trade in their inside knowledge for their benefits and that of their cronies.</w:t>
      </w:r>
    </w:p>
    <w:p w:rsidR="0082074D" w:rsidRPr="009A3156" w:rsidRDefault="0082074D" w:rsidP="007640EF">
      <w:pPr>
        <w:keepNext/>
        <w:keepLines/>
        <w:rPr>
          <w:b/>
          <w:color w:val="17365D" w:themeColor="text2" w:themeShade="BF"/>
          <w:sz w:val="28"/>
        </w:rPr>
      </w:pPr>
      <w:r w:rsidRPr="009A3156">
        <w:rPr>
          <w:b/>
          <w:color w:val="17365D" w:themeColor="text2" w:themeShade="BF"/>
          <w:sz w:val="28"/>
        </w:rPr>
        <w:lastRenderedPageBreak/>
        <w:t>The Mutual Fund Scam</w:t>
      </w:r>
    </w:p>
    <w:p w:rsidR="0082074D" w:rsidRPr="007D0D70" w:rsidRDefault="0082074D" w:rsidP="008A7E9F">
      <w:pPr>
        <w:keepNext/>
        <w:keepLines/>
        <w:ind w:firstLine="720"/>
        <w:rPr>
          <w:rFonts w:ascii="Times New Roman" w:hAnsi="Times New Roman" w:cs="Times New Roman"/>
          <w:sz w:val="24"/>
          <w:szCs w:val="24"/>
        </w:rPr>
      </w:pPr>
      <w:r w:rsidRPr="00F55929">
        <w:rPr>
          <w:rFonts w:ascii="Times New Roman" w:hAnsi="Times New Roman" w:cs="Times New Roman"/>
          <w:i/>
          <w:sz w:val="24"/>
          <w:szCs w:val="24"/>
        </w:rPr>
        <w:t>Scenario:</w:t>
      </w:r>
      <w:r w:rsidRPr="007D0D70">
        <w:rPr>
          <w:rFonts w:ascii="Times New Roman" w:hAnsi="Times New Roman" w:cs="Times New Roman"/>
          <w:sz w:val="24"/>
          <w:szCs w:val="24"/>
        </w:rPr>
        <w:t xml:space="preserve"> You are the CEO of ABC company and want to influence a politician. How can you bribe him legally? You tip him off that if he were to invest in XYZ mutual </w:t>
      </w:r>
      <w:proofErr w:type="gramStart"/>
      <w:r w:rsidRPr="007D0D70">
        <w:rPr>
          <w:rFonts w:ascii="Times New Roman" w:hAnsi="Times New Roman" w:cs="Times New Roman"/>
          <w:sz w:val="24"/>
          <w:szCs w:val="24"/>
        </w:rPr>
        <w:t>fund,</w:t>
      </w:r>
      <w:proofErr w:type="gramEnd"/>
      <w:r w:rsidRPr="007D0D70">
        <w:rPr>
          <w:rFonts w:ascii="Times New Roman" w:hAnsi="Times New Roman" w:cs="Times New Roman"/>
          <w:sz w:val="24"/>
          <w:szCs w:val="24"/>
        </w:rPr>
        <w:t xml:space="preserve"> he might see a dramatic boost in that fund’s returns in six months. </w:t>
      </w:r>
      <w:r w:rsidR="00F55929">
        <w:rPr>
          <w:rFonts w:ascii="Times New Roman" w:hAnsi="Times New Roman" w:cs="Times New Roman"/>
          <w:sz w:val="24"/>
          <w:szCs w:val="24"/>
        </w:rPr>
        <w:t xml:space="preserve">Wink. </w:t>
      </w:r>
      <w:r w:rsidRPr="007D0D70">
        <w:rPr>
          <w:rFonts w:ascii="Times New Roman" w:hAnsi="Times New Roman" w:cs="Times New Roman"/>
          <w:sz w:val="24"/>
          <w:szCs w:val="24"/>
        </w:rPr>
        <w:t xml:space="preserve">Sure enough, in six months your ABC </w:t>
      </w:r>
      <w:proofErr w:type="gramStart"/>
      <w:r w:rsidRPr="007D0D70">
        <w:rPr>
          <w:rFonts w:ascii="Times New Roman" w:hAnsi="Times New Roman" w:cs="Times New Roman"/>
          <w:sz w:val="24"/>
          <w:szCs w:val="24"/>
        </w:rPr>
        <w:t>company</w:t>
      </w:r>
      <w:proofErr w:type="gramEnd"/>
      <w:r w:rsidRPr="007D0D70">
        <w:rPr>
          <w:rFonts w:ascii="Times New Roman" w:hAnsi="Times New Roman" w:cs="Times New Roman"/>
          <w:sz w:val="24"/>
          <w:szCs w:val="24"/>
        </w:rPr>
        <w:t>, which is held by XYZ goes public, creating a wi</w:t>
      </w:r>
      <w:r w:rsidR="00F55929">
        <w:rPr>
          <w:rFonts w:ascii="Times New Roman" w:hAnsi="Times New Roman" w:cs="Times New Roman"/>
          <w:sz w:val="24"/>
          <w:szCs w:val="24"/>
        </w:rPr>
        <w:t xml:space="preserve">ndfall. The politician </w:t>
      </w:r>
      <w:r w:rsidRPr="007D0D70">
        <w:rPr>
          <w:rFonts w:ascii="Times New Roman" w:hAnsi="Times New Roman" w:cs="Times New Roman"/>
          <w:sz w:val="24"/>
          <w:szCs w:val="24"/>
        </w:rPr>
        <w:t xml:space="preserve">then sells his shares, and </w:t>
      </w:r>
      <w:r w:rsidR="00CC11AC">
        <w:rPr>
          <w:rFonts w:ascii="Times New Roman" w:hAnsi="Times New Roman" w:cs="Times New Roman"/>
          <w:sz w:val="24"/>
          <w:szCs w:val="24"/>
        </w:rPr>
        <w:t xml:space="preserve">thus </w:t>
      </w:r>
      <w:r w:rsidRPr="007D0D70">
        <w:rPr>
          <w:rFonts w:ascii="Times New Roman" w:hAnsi="Times New Roman" w:cs="Times New Roman"/>
          <w:sz w:val="24"/>
          <w:szCs w:val="24"/>
        </w:rPr>
        <w:t xml:space="preserve">becomes addicted to </w:t>
      </w:r>
      <w:r w:rsidR="00CC11AC">
        <w:rPr>
          <w:rFonts w:ascii="Times New Roman" w:hAnsi="Times New Roman" w:cs="Times New Roman"/>
          <w:sz w:val="24"/>
          <w:szCs w:val="24"/>
        </w:rPr>
        <w:t>ABC’s</w:t>
      </w:r>
      <w:r w:rsidRPr="007D0D70">
        <w:rPr>
          <w:rFonts w:ascii="Times New Roman" w:hAnsi="Times New Roman" w:cs="Times New Roman"/>
          <w:sz w:val="24"/>
          <w:szCs w:val="24"/>
        </w:rPr>
        <w:t xml:space="preserve"> insider tips</w:t>
      </w:r>
      <w:r w:rsidR="0091662C">
        <w:rPr>
          <w:rFonts w:ascii="Times New Roman" w:hAnsi="Times New Roman" w:cs="Times New Roman"/>
          <w:sz w:val="24"/>
          <w:szCs w:val="24"/>
        </w:rPr>
        <w:t xml:space="preserve">. He’s drunk the </w:t>
      </w:r>
      <w:r w:rsidRPr="007D0D70">
        <w:rPr>
          <w:rFonts w:ascii="Times New Roman" w:hAnsi="Times New Roman" w:cs="Times New Roman"/>
          <w:sz w:val="24"/>
          <w:szCs w:val="24"/>
        </w:rPr>
        <w:t xml:space="preserve">Kool-Aid. </w:t>
      </w:r>
    </w:p>
    <w:p w:rsidR="0082074D" w:rsidRPr="0091662C" w:rsidRDefault="0082074D" w:rsidP="008A7E9F">
      <w:pPr>
        <w:ind w:firstLine="720"/>
        <w:rPr>
          <w:rFonts w:ascii="Times New Roman" w:hAnsi="Times New Roman" w:cs="Times New Roman"/>
          <w:b/>
          <w:sz w:val="24"/>
          <w:szCs w:val="24"/>
        </w:rPr>
      </w:pPr>
      <w:r w:rsidRPr="007D0D70">
        <w:rPr>
          <w:rFonts w:ascii="Times New Roman" w:hAnsi="Times New Roman" w:cs="Times New Roman"/>
          <w:sz w:val="24"/>
          <w:szCs w:val="24"/>
        </w:rPr>
        <w:t xml:space="preserve">Later on, that politician gives favorable treatment to ABC in return for </w:t>
      </w:r>
      <w:r w:rsidR="0091662C">
        <w:rPr>
          <w:rFonts w:ascii="Times New Roman" w:hAnsi="Times New Roman" w:cs="Times New Roman"/>
          <w:sz w:val="24"/>
          <w:szCs w:val="24"/>
        </w:rPr>
        <w:t>more</w:t>
      </w:r>
      <w:r w:rsidRPr="007D0D70">
        <w:rPr>
          <w:rFonts w:ascii="Times New Roman" w:hAnsi="Times New Roman" w:cs="Times New Roman"/>
          <w:sz w:val="24"/>
          <w:szCs w:val="24"/>
        </w:rPr>
        <w:t xml:space="preserve"> insider tip. This is how Washington politicians and federal judges are </w:t>
      </w:r>
      <w:r w:rsidR="0091662C">
        <w:rPr>
          <w:rFonts w:ascii="Times New Roman" w:hAnsi="Times New Roman" w:cs="Times New Roman"/>
          <w:sz w:val="24"/>
          <w:szCs w:val="24"/>
        </w:rPr>
        <w:t>bribed</w:t>
      </w:r>
      <w:r w:rsidRPr="007D0D70">
        <w:rPr>
          <w:rFonts w:ascii="Times New Roman" w:hAnsi="Times New Roman" w:cs="Times New Roman"/>
          <w:sz w:val="24"/>
          <w:szCs w:val="24"/>
        </w:rPr>
        <w:t xml:space="preserve"> by Wall Street and grow rich.</w:t>
      </w:r>
      <w:r w:rsidR="0091662C">
        <w:rPr>
          <w:rFonts w:ascii="Times New Roman" w:hAnsi="Times New Roman" w:cs="Times New Roman"/>
          <w:sz w:val="24"/>
          <w:szCs w:val="24"/>
        </w:rPr>
        <w:t xml:space="preserve"> </w:t>
      </w:r>
      <w:proofErr w:type="gramStart"/>
      <w:r w:rsidR="0091662C" w:rsidRPr="0091662C">
        <w:rPr>
          <w:rFonts w:ascii="Times New Roman" w:hAnsi="Times New Roman" w:cs="Times New Roman"/>
          <w:b/>
          <w:sz w:val="24"/>
          <w:szCs w:val="24"/>
        </w:rPr>
        <w:t>The mutual fund bribe.</w:t>
      </w:r>
      <w:proofErr w:type="gramEnd"/>
    </w:p>
    <w:p w:rsidR="00A302C2" w:rsidRPr="007640EF" w:rsidRDefault="00A302C2" w:rsidP="00E8215E">
      <w:pPr>
        <w:spacing w:after="0"/>
        <w:rPr>
          <w:b/>
          <w:color w:val="C00000"/>
          <w:sz w:val="28"/>
        </w:rPr>
      </w:pPr>
      <w:r w:rsidRPr="007640EF">
        <w:rPr>
          <w:b/>
          <w:color w:val="C00000"/>
          <w:sz w:val="28"/>
        </w:rPr>
        <w:t>Case Study:</w:t>
      </w:r>
    </w:p>
    <w:p w:rsidR="00A302C2" w:rsidRPr="007640EF" w:rsidRDefault="00A302C2" w:rsidP="008A7E9F">
      <w:pPr>
        <w:pBdr>
          <w:bottom w:val="single" w:sz="4" w:space="1" w:color="auto"/>
        </w:pBdr>
        <w:spacing w:after="0" w:line="240" w:lineRule="auto"/>
        <w:rPr>
          <w:b/>
          <w:color w:val="C00000"/>
          <w:sz w:val="36"/>
        </w:rPr>
      </w:pPr>
      <w:r w:rsidRPr="007640EF">
        <w:rPr>
          <w:b/>
          <w:color w:val="C00000"/>
          <w:sz w:val="36"/>
        </w:rPr>
        <w:t>Betty Montgomery, former Ohio Attorney General</w:t>
      </w:r>
    </w:p>
    <w:p w:rsidR="00A302C2" w:rsidRPr="007640EF" w:rsidRDefault="00A302C2" w:rsidP="008A7E9F">
      <w:pPr>
        <w:rPr>
          <w:b/>
          <w:color w:val="C00000"/>
          <w:sz w:val="24"/>
        </w:rPr>
      </w:pPr>
      <w:r w:rsidRPr="007640EF">
        <w:rPr>
          <w:b/>
          <w:color w:val="C00000"/>
          <w:sz w:val="24"/>
        </w:rPr>
        <w:t>Currently heading a Task Force on the Culture of The Ohio State University Marching Band</w:t>
      </w:r>
    </w:p>
    <w:p w:rsidR="00A302C2" w:rsidRPr="007D0D70" w:rsidRDefault="00A302C2" w:rsidP="008A7E9F">
      <w:pPr>
        <w:ind w:firstLine="720"/>
        <w:rPr>
          <w:rFonts w:ascii="Times New Roman" w:hAnsi="Times New Roman" w:cs="Times New Roman"/>
          <w:sz w:val="24"/>
          <w:szCs w:val="24"/>
        </w:rPr>
      </w:pPr>
      <w:r w:rsidRPr="007D0D70">
        <w:rPr>
          <w:rFonts w:ascii="Times New Roman" w:hAnsi="Times New Roman" w:cs="Times New Roman"/>
          <w:sz w:val="24"/>
          <w:szCs w:val="24"/>
        </w:rPr>
        <w:t xml:space="preserve">Betty Montgomery was </w:t>
      </w:r>
      <w:r w:rsidR="00CC11AC">
        <w:rPr>
          <w:rFonts w:ascii="Times New Roman" w:hAnsi="Times New Roman" w:cs="Times New Roman"/>
          <w:sz w:val="24"/>
          <w:szCs w:val="24"/>
        </w:rPr>
        <w:t>chosen</w:t>
      </w:r>
      <w:r w:rsidRPr="007D0D70">
        <w:rPr>
          <w:rFonts w:ascii="Times New Roman" w:hAnsi="Times New Roman" w:cs="Times New Roman"/>
          <w:sz w:val="24"/>
          <w:szCs w:val="24"/>
        </w:rPr>
        <w:t xml:space="preserve"> by Ohio State president Michael V. Drake and trustee chairman Jeffrey Wadsworth to conduct an ostensibly impartial assessment of the culture of the marching band following the firing of its director, Jon Waters.</w:t>
      </w:r>
    </w:p>
    <w:p w:rsidR="00A302C2" w:rsidRPr="007D0D70" w:rsidRDefault="008607B3" w:rsidP="008A7E9F">
      <w:pPr>
        <w:ind w:firstLine="720"/>
        <w:rPr>
          <w:rFonts w:ascii="Times New Roman" w:hAnsi="Times New Roman" w:cs="Times New Roman"/>
          <w:sz w:val="24"/>
          <w:szCs w:val="24"/>
        </w:rPr>
      </w:pPr>
      <w:r w:rsidRPr="007D0D70">
        <w:rPr>
          <w:rFonts w:ascii="Times New Roman" w:hAnsi="Times New Roman" w:cs="Times New Roman"/>
          <w:sz w:val="24"/>
          <w:szCs w:val="24"/>
        </w:rPr>
        <w:t>Montgomery’s</w:t>
      </w:r>
      <w:r w:rsidR="00A302C2" w:rsidRPr="007D0D70">
        <w:rPr>
          <w:rFonts w:ascii="Times New Roman" w:hAnsi="Times New Roman" w:cs="Times New Roman"/>
          <w:sz w:val="24"/>
          <w:szCs w:val="24"/>
        </w:rPr>
        <w:t xml:space="preserve">’ 2014 financial disclosure shows several investments in </w:t>
      </w:r>
      <w:proofErr w:type="spellStart"/>
      <w:r w:rsidR="00A302C2" w:rsidRPr="008607B3">
        <w:rPr>
          <w:rFonts w:ascii="Times New Roman" w:hAnsi="Times New Roman" w:cs="Times New Roman"/>
          <w:b/>
          <w:sz w:val="24"/>
          <w:szCs w:val="24"/>
        </w:rPr>
        <w:t>BlackRock</w:t>
      </w:r>
      <w:proofErr w:type="spellEnd"/>
      <w:r w:rsidR="00A302C2" w:rsidRPr="008607B3">
        <w:rPr>
          <w:rFonts w:ascii="Times New Roman" w:hAnsi="Times New Roman" w:cs="Times New Roman"/>
          <w:b/>
          <w:sz w:val="24"/>
          <w:szCs w:val="24"/>
        </w:rPr>
        <w:t xml:space="preserve"> Global Allocation</w:t>
      </w:r>
      <w:r w:rsidR="000F3714">
        <w:rPr>
          <w:rFonts w:ascii="Times New Roman" w:hAnsi="Times New Roman" w:cs="Times New Roman"/>
          <w:sz w:val="24"/>
          <w:szCs w:val="24"/>
        </w:rPr>
        <w:t xml:space="preserve"> funds </w:t>
      </w:r>
      <w:r w:rsidR="000F3714" w:rsidRPr="000F3714">
        <w:rPr>
          <w:rFonts w:ascii="Times New Roman" w:hAnsi="Times New Roman" w:cs="Times New Roman"/>
          <w:sz w:val="24"/>
          <w:szCs w:val="24"/>
        </w:rPr>
        <w:t>(</w:t>
      </w:r>
      <w:r w:rsidR="000F3714">
        <w:rPr>
          <w:rFonts w:ascii="Times New Roman" w:hAnsi="Times New Roman" w:cs="Times New Roman"/>
          <w:sz w:val="24"/>
          <w:szCs w:val="24"/>
        </w:rPr>
        <w:t>Stock Symbol</w:t>
      </w:r>
      <w:r w:rsidR="000F3714" w:rsidRPr="000F3714">
        <w:rPr>
          <w:rFonts w:ascii="Times New Roman" w:hAnsi="Times New Roman" w:cs="Times New Roman"/>
          <w:sz w:val="24"/>
          <w:szCs w:val="24"/>
        </w:rPr>
        <w:t xml:space="preserve">: </w:t>
      </w:r>
      <w:r w:rsidR="000F3714" w:rsidRPr="000F3714">
        <w:rPr>
          <w:rFonts w:ascii="Times New Roman" w:hAnsi="Times New Roman" w:cs="Times New Roman"/>
          <w:sz w:val="24"/>
          <w:szCs w:val="24"/>
        </w:rPr>
        <w:t>MCLOX</w:t>
      </w:r>
      <w:r w:rsidR="000F3714" w:rsidRPr="000F3714">
        <w:rPr>
          <w:rFonts w:ascii="Times New Roman" w:hAnsi="Times New Roman" w:cs="Times New Roman"/>
          <w:sz w:val="24"/>
          <w:szCs w:val="24"/>
        </w:rPr>
        <w:t>).</w:t>
      </w:r>
      <w:r w:rsidR="008A7E9F">
        <w:rPr>
          <w:rFonts w:ascii="Times New Roman" w:hAnsi="Times New Roman" w:cs="Times New Roman"/>
          <w:sz w:val="24"/>
          <w:szCs w:val="24"/>
        </w:rPr>
        <w:t xml:space="preserve"> </w:t>
      </w:r>
      <w:hyperlink r:id="rId9" w:history="1">
        <w:r w:rsidR="008A7E9F" w:rsidRPr="008A7E9F">
          <w:rPr>
            <w:rStyle w:val="Hyperlink"/>
            <w:rFonts w:ascii="Times New Roman" w:hAnsi="Times New Roman" w:cs="Times New Roman"/>
            <w:sz w:val="24"/>
            <w:szCs w:val="24"/>
          </w:rPr>
          <w:t>See Betty Montgomery’s 201</w:t>
        </w:r>
        <w:r w:rsidR="008A7E9F" w:rsidRPr="008A7E9F">
          <w:rPr>
            <w:rStyle w:val="Hyperlink"/>
            <w:rFonts w:ascii="Times New Roman" w:hAnsi="Times New Roman" w:cs="Times New Roman"/>
            <w:sz w:val="24"/>
            <w:szCs w:val="24"/>
          </w:rPr>
          <w:t>4</w:t>
        </w:r>
        <w:r w:rsidR="008A7E9F" w:rsidRPr="008A7E9F">
          <w:rPr>
            <w:rStyle w:val="Hyperlink"/>
            <w:rFonts w:ascii="Times New Roman" w:hAnsi="Times New Roman" w:cs="Times New Roman"/>
            <w:sz w:val="24"/>
            <w:szCs w:val="24"/>
          </w:rPr>
          <w:t xml:space="preserve"> financial disclosure</w:t>
        </w:r>
      </w:hyperlink>
      <w:r w:rsidR="008A7E9F">
        <w:rPr>
          <w:rFonts w:ascii="Times New Roman" w:hAnsi="Times New Roman" w:cs="Times New Roman"/>
          <w:sz w:val="24"/>
          <w:szCs w:val="24"/>
        </w:rPr>
        <w:t>.</w:t>
      </w:r>
      <w:r w:rsidR="008A7E9F">
        <w:rPr>
          <w:rStyle w:val="FootnoteReference"/>
          <w:rFonts w:ascii="Times New Roman" w:hAnsi="Times New Roman" w:cs="Times New Roman"/>
          <w:sz w:val="24"/>
          <w:szCs w:val="24"/>
        </w:rPr>
        <w:footnoteReference w:id="1"/>
      </w:r>
    </w:p>
    <w:p w:rsidR="00A302C2" w:rsidRPr="007D0D70" w:rsidRDefault="008A7E9F" w:rsidP="008A7E9F">
      <w:pPr>
        <w:ind w:firstLine="72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63917B66" wp14:editId="5F37F017">
                <wp:simplePos x="0" y="0"/>
                <wp:positionH relativeFrom="column">
                  <wp:posOffset>-28575</wp:posOffset>
                </wp:positionH>
                <wp:positionV relativeFrom="paragraph">
                  <wp:posOffset>15240</wp:posOffset>
                </wp:positionV>
                <wp:extent cx="2590800" cy="1076325"/>
                <wp:effectExtent l="0" t="0" r="19050" b="28575"/>
                <wp:wrapSquare wrapText="bothSides"/>
                <wp:docPr id="5" name="Rectangle 5"/>
                <wp:cNvGraphicFramePr/>
                <a:graphic xmlns:a="http://schemas.openxmlformats.org/drawingml/2006/main">
                  <a:graphicData uri="http://schemas.microsoft.com/office/word/2010/wordprocessingShape">
                    <wps:wsp>
                      <wps:cNvSpPr/>
                      <wps:spPr>
                        <a:xfrm>
                          <a:off x="0" y="0"/>
                          <a:ext cx="2590800" cy="1076325"/>
                        </a:xfrm>
                        <a:prstGeom prst="rect">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A7E9F" w:rsidRPr="008A7E9F" w:rsidRDefault="008A7E9F" w:rsidP="008A7E9F">
                            <w:pPr>
                              <w:spacing w:after="0" w:line="240" w:lineRule="auto"/>
                              <w:jc w:val="center"/>
                              <w:rPr>
                                <w:b/>
                                <w:sz w:val="32"/>
                              </w:rPr>
                            </w:pPr>
                            <w:r w:rsidRPr="008A7E9F">
                              <w:rPr>
                                <w:b/>
                                <w:sz w:val="32"/>
                              </w:rPr>
                              <w:t xml:space="preserve">Conflict: </w:t>
                            </w:r>
                            <w:proofErr w:type="spellStart"/>
                            <w:r>
                              <w:rPr>
                                <w:b/>
                                <w:sz w:val="32"/>
                              </w:rPr>
                              <w:t>McBee</w:t>
                            </w:r>
                            <w:proofErr w:type="spellEnd"/>
                            <w:r>
                              <w:rPr>
                                <w:b/>
                                <w:sz w:val="32"/>
                              </w:rPr>
                              <w:t xml:space="preserve"> Strategic</w:t>
                            </w:r>
                          </w:p>
                          <w:p w:rsidR="008A7E9F" w:rsidRPr="008A7E9F" w:rsidRDefault="008A7E9F" w:rsidP="008A7E9F">
                            <w:pPr>
                              <w:spacing w:after="0" w:line="240" w:lineRule="auto"/>
                              <w:jc w:val="center"/>
                            </w:pPr>
                            <w:r w:rsidRPr="008A7E9F">
                              <w:t xml:space="preserve">Conflict with </w:t>
                            </w:r>
                            <w:r>
                              <w:t xml:space="preserve">Jeffrey Wadsworth and Provost Joseph A. Steinmetz, and 14 of 16 </w:t>
                            </w:r>
                            <w:proofErr w:type="spellStart"/>
                            <w:r>
                              <w:t>McBee</w:t>
                            </w:r>
                            <w:proofErr w:type="spellEnd"/>
                            <w:r>
                              <w:t xml:space="preserve"> clients who have contracts with Ohio State and MOOC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left:0;text-align:left;margin-left:-2.25pt;margin-top:1.2pt;width:204pt;height:8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" fillcolor="red" strokecolor="black [3213]" strokeweight="2pt">
                <v:textbox>
                  <w:txbxContent>
                    <w:p w:rsidR="008A7E9F" w:rsidRPr="008A7E9F" w:rsidRDefault="008A7E9F" w:rsidP="008A7E9F">
                      <w:pPr>
                        <w:spacing w:after="0" w:line="240" w:lineRule="auto"/>
                        <w:jc w:val="center"/>
                        <w:rPr>
                          <w:b/>
                          <w:sz w:val="32"/>
                        </w:rPr>
                      </w:pPr>
                      <w:r w:rsidRPr="008A7E9F">
                        <w:rPr>
                          <w:b/>
                          <w:sz w:val="32"/>
                        </w:rPr>
                        <w:t xml:space="preserve">Conflict: </w:t>
                      </w:r>
                      <w:proofErr w:type="spellStart"/>
                      <w:r>
                        <w:rPr>
                          <w:b/>
                          <w:sz w:val="32"/>
                        </w:rPr>
                        <w:t>McBee</w:t>
                      </w:r>
                      <w:proofErr w:type="spellEnd"/>
                      <w:r>
                        <w:rPr>
                          <w:b/>
                          <w:sz w:val="32"/>
                        </w:rPr>
                        <w:t xml:space="preserve"> Strategic</w:t>
                      </w:r>
                    </w:p>
                    <w:p w:rsidR="008A7E9F" w:rsidRPr="008A7E9F" w:rsidRDefault="008A7E9F" w:rsidP="008A7E9F">
                      <w:pPr>
                        <w:spacing w:after="0" w:line="240" w:lineRule="auto"/>
                        <w:jc w:val="center"/>
                      </w:pPr>
                      <w:r w:rsidRPr="008A7E9F">
                        <w:t xml:space="preserve">Conflict with </w:t>
                      </w:r>
                      <w:r>
                        <w:t xml:space="preserve">Jeffrey Wadsworth and Provost Joseph A. Steinmetz, and 14 of 16 </w:t>
                      </w:r>
                      <w:proofErr w:type="spellStart"/>
                      <w:r>
                        <w:t>McBee</w:t>
                      </w:r>
                      <w:proofErr w:type="spellEnd"/>
                      <w:r>
                        <w:t xml:space="preserve"> clients who have contracts with Ohio State and MOOC</w:t>
                      </w:r>
                    </w:p>
                  </w:txbxContent>
                </v:textbox>
                <w10:wrap type="square"/>
              </v:rect>
            </w:pict>
          </mc:Fallback>
        </mc:AlternateContent>
      </w:r>
      <w:r w:rsidR="00A302C2" w:rsidRPr="007D0D70">
        <w:rPr>
          <w:rFonts w:ascii="Times New Roman" w:hAnsi="Times New Roman" w:cs="Times New Roman"/>
          <w:sz w:val="24"/>
          <w:szCs w:val="24"/>
        </w:rPr>
        <w:t xml:space="preserve">The devil in </w:t>
      </w:r>
      <w:r w:rsidR="008607B3">
        <w:rPr>
          <w:rFonts w:ascii="Times New Roman" w:hAnsi="Times New Roman" w:cs="Times New Roman"/>
          <w:sz w:val="24"/>
          <w:szCs w:val="24"/>
        </w:rPr>
        <w:t>this</w:t>
      </w:r>
      <w:r w:rsidR="00A302C2" w:rsidRPr="007D0D70">
        <w:rPr>
          <w:rFonts w:ascii="Times New Roman" w:hAnsi="Times New Roman" w:cs="Times New Roman"/>
          <w:sz w:val="24"/>
          <w:szCs w:val="24"/>
        </w:rPr>
        <w:t xml:space="preserve"> detail was not hard to find.</w:t>
      </w:r>
    </w:p>
    <w:p w:rsidR="00A302C2" w:rsidRPr="007D0D70" w:rsidRDefault="00A302C2" w:rsidP="008A7E9F">
      <w:pPr>
        <w:ind w:firstLine="720"/>
        <w:rPr>
          <w:rFonts w:ascii="Times New Roman" w:hAnsi="Times New Roman" w:cs="Times New Roman"/>
          <w:sz w:val="24"/>
          <w:szCs w:val="24"/>
        </w:rPr>
      </w:pPr>
      <w:r w:rsidRPr="007D0D70">
        <w:rPr>
          <w:rFonts w:ascii="Times New Roman" w:hAnsi="Times New Roman" w:cs="Times New Roman"/>
          <w:sz w:val="24"/>
          <w:szCs w:val="24"/>
        </w:rPr>
        <w:t xml:space="preserve">Jeffrey Wadsworth is the CEO of Battelle Memorial Institute. One of Battelle’s Washington, D.C. lobbyists is </w:t>
      </w:r>
      <w:proofErr w:type="spellStart"/>
      <w:r w:rsidRPr="007D0D70">
        <w:rPr>
          <w:rFonts w:ascii="Times New Roman" w:hAnsi="Times New Roman" w:cs="Times New Roman"/>
          <w:sz w:val="24"/>
          <w:szCs w:val="24"/>
        </w:rPr>
        <w:t>McBee</w:t>
      </w:r>
      <w:proofErr w:type="spellEnd"/>
      <w:r w:rsidRPr="007D0D70">
        <w:rPr>
          <w:rFonts w:ascii="Times New Roman" w:hAnsi="Times New Roman" w:cs="Times New Roman"/>
          <w:sz w:val="24"/>
          <w:szCs w:val="24"/>
        </w:rPr>
        <w:t xml:space="preserve"> Strategic, </w:t>
      </w:r>
      <w:r w:rsidR="008607B3">
        <w:rPr>
          <w:rFonts w:ascii="Times New Roman" w:hAnsi="Times New Roman" w:cs="Times New Roman"/>
          <w:sz w:val="24"/>
          <w:szCs w:val="24"/>
        </w:rPr>
        <w:t xml:space="preserve">LLC, </w:t>
      </w:r>
      <w:r w:rsidRPr="007D0D70">
        <w:rPr>
          <w:rFonts w:ascii="Times New Roman" w:hAnsi="Times New Roman" w:cs="Times New Roman"/>
          <w:sz w:val="24"/>
          <w:szCs w:val="24"/>
        </w:rPr>
        <w:t xml:space="preserve">a </w:t>
      </w:r>
      <w:r w:rsidR="008607B3">
        <w:rPr>
          <w:rFonts w:ascii="Times New Roman" w:hAnsi="Times New Roman" w:cs="Times New Roman"/>
          <w:sz w:val="24"/>
          <w:szCs w:val="24"/>
        </w:rPr>
        <w:t xml:space="preserve">notoriously </w:t>
      </w:r>
      <w:r w:rsidRPr="007D0D70">
        <w:rPr>
          <w:rFonts w:ascii="Times New Roman" w:hAnsi="Times New Roman" w:cs="Times New Roman"/>
          <w:sz w:val="24"/>
          <w:szCs w:val="24"/>
        </w:rPr>
        <w:t>known crony firm for Barack Obama</w:t>
      </w:r>
      <w:r w:rsidR="008607B3">
        <w:rPr>
          <w:rFonts w:ascii="Times New Roman" w:hAnsi="Times New Roman" w:cs="Times New Roman"/>
          <w:sz w:val="24"/>
          <w:szCs w:val="24"/>
        </w:rPr>
        <w:t xml:space="preserve">. </w:t>
      </w:r>
      <w:proofErr w:type="spellStart"/>
      <w:r w:rsidR="008607B3">
        <w:rPr>
          <w:rFonts w:ascii="Times New Roman" w:hAnsi="Times New Roman" w:cs="Times New Roman"/>
          <w:sz w:val="24"/>
          <w:szCs w:val="24"/>
        </w:rPr>
        <w:t>McBee</w:t>
      </w:r>
      <w:proofErr w:type="spellEnd"/>
      <w:r w:rsidR="008607B3">
        <w:rPr>
          <w:rFonts w:ascii="Times New Roman" w:hAnsi="Times New Roman" w:cs="Times New Roman"/>
          <w:sz w:val="24"/>
          <w:szCs w:val="24"/>
        </w:rPr>
        <w:t xml:space="preserve"> </w:t>
      </w:r>
      <w:r w:rsidRPr="007D0D70">
        <w:rPr>
          <w:rFonts w:ascii="Times New Roman" w:hAnsi="Times New Roman" w:cs="Times New Roman"/>
          <w:sz w:val="24"/>
          <w:szCs w:val="24"/>
        </w:rPr>
        <w:t>dispensed tens of billions of d</w:t>
      </w:r>
      <w:r w:rsidR="008607B3">
        <w:rPr>
          <w:rFonts w:ascii="Times New Roman" w:hAnsi="Times New Roman" w:cs="Times New Roman"/>
          <w:sz w:val="24"/>
          <w:szCs w:val="24"/>
        </w:rPr>
        <w:t>ollars in green energy stimulus for Obama.</w:t>
      </w:r>
      <w:r w:rsidRPr="007D0D70">
        <w:rPr>
          <w:rFonts w:ascii="Times New Roman" w:hAnsi="Times New Roman" w:cs="Times New Roman"/>
          <w:sz w:val="24"/>
          <w:szCs w:val="24"/>
        </w:rPr>
        <w:t xml:space="preserve"> </w:t>
      </w:r>
      <w:r w:rsidR="008A7E9F">
        <w:rPr>
          <w:rFonts w:ascii="Times New Roman" w:hAnsi="Times New Roman" w:cs="Times New Roman"/>
          <w:sz w:val="24"/>
          <w:szCs w:val="24"/>
        </w:rPr>
        <w:t xml:space="preserve">In addition, </w:t>
      </w:r>
      <w:proofErr w:type="spellStart"/>
      <w:r w:rsidR="008A7E9F">
        <w:rPr>
          <w:rFonts w:ascii="Times New Roman" w:hAnsi="Times New Roman" w:cs="Times New Roman"/>
          <w:sz w:val="24"/>
          <w:szCs w:val="24"/>
        </w:rPr>
        <w:t>McBee’s</w:t>
      </w:r>
      <w:proofErr w:type="spellEnd"/>
      <w:r w:rsidR="008A7E9F">
        <w:rPr>
          <w:rFonts w:ascii="Times New Roman" w:hAnsi="Times New Roman" w:cs="Times New Roman"/>
          <w:sz w:val="24"/>
          <w:szCs w:val="24"/>
        </w:rPr>
        <w:t xml:space="preserve"> clients are major proponents of MOOC (Massive Open Online Course) promoted by </w:t>
      </w:r>
      <w:proofErr w:type="gramStart"/>
      <w:r w:rsidR="008A7E9F">
        <w:rPr>
          <w:rFonts w:ascii="Times New Roman" w:hAnsi="Times New Roman" w:cs="Times New Roman"/>
          <w:sz w:val="24"/>
          <w:szCs w:val="24"/>
        </w:rPr>
        <w:t>provost</w:t>
      </w:r>
      <w:proofErr w:type="gramEnd"/>
      <w:r w:rsidR="008A7E9F">
        <w:rPr>
          <w:rFonts w:ascii="Times New Roman" w:hAnsi="Times New Roman" w:cs="Times New Roman"/>
          <w:sz w:val="24"/>
          <w:szCs w:val="24"/>
        </w:rPr>
        <w:t xml:space="preserve"> Joseph A. Steinmetz. These companies include Oracle and Google.</w:t>
      </w:r>
    </w:p>
    <w:p w:rsidR="00A302C2" w:rsidRPr="007D0D70" w:rsidRDefault="00A302C2" w:rsidP="00E8215E">
      <w:pPr>
        <w:keepNext/>
        <w:keepLines/>
        <w:ind w:firstLine="720"/>
        <w:rPr>
          <w:rFonts w:ascii="Times New Roman" w:hAnsi="Times New Roman" w:cs="Times New Roman"/>
          <w:sz w:val="24"/>
          <w:szCs w:val="24"/>
        </w:rPr>
      </w:pPr>
      <w:proofErr w:type="spellStart"/>
      <w:r w:rsidRPr="007D0D70">
        <w:rPr>
          <w:rFonts w:ascii="Times New Roman" w:hAnsi="Times New Roman" w:cs="Times New Roman"/>
          <w:sz w:val="24"/>
          <w:szCs w:val="24"/>
        </w:rPr>
        <w:lastRenderedPageBreak/>
        <w:t>McBee</w:t>
      </w:r>
      <w:proofErr w:type="spellEnd"/>
      <w:r w:rsidRPr="007D0D70">
        <w:rPr>
          <w:rFonts w:ascii="Times New Roman" w:hAnsi="Times New Roman" w:cs="Times New Roman"/>
          <w:sz w:val="24"/>
          <w:szCs w:val="24"/>
        </w:rPr>
        <w:t xml:space="preserve"> Strategic is required by law to disclose the firms who are their </w:t>
      </w:r>
      <w:r w:rsidR="008607B3">
        <w:rPr>
          <w:rFonts w:ascii="Times New Roman" w:hAnsi="Times New Roman" w:cs="Times New Roman"/>
          <w:sz w:val="24"/>
          <w:szCs w:val="24"/>
        </w:rPr>
        <w:t xml:space="preserve">lobbying </w:t>
      </w:r>
      <w:r w:rsidRPr="007D0D70">
        <w:rPr>
          <w:rFonts w:ascii="Times New Roman" w:hAnsi="Times New Roman" w:cs="Times New Roman"/>
          <w:sz w:val="24"/>
          <w:szCs w:val="24"/>
        </w:rPr>
        <w:t xml:space="preserve">clients. </w:t>
      </w:r>
      <w:r w:rsidR="008607B3">
        <w:rPr>
          <w:rFonts w:ascii="Times New Roman" w:hAnsi="Times New Roman" w:cs="Times New Roman"/>
          <w:sz w:val="24"/>
          <w:szCs w:val="24"/>
        </w:rPr>
        <w:t xml:space="preserve">See </w:t>
      </w:r>
      <w:hyperlink r:id="rId10" w:history="1">
        <w:proofErr w:type="spellStart"/>
        <w:r w:rsidR="008607B3" w:rsidRPr="009A3156">
          <w:rPr>
            <w:rStyle w:val="Hyperlink"/>
            <w:rFonts w:ascii="Times New Roman" w:hAnsi="Times New Roman" w:cs="Times New Roman"/>
            <w:sz w:val="24"/>
            <w:szCs w:val="24"/>
          </w:rPr>
          <w:t>McBee</w:t>
        </w:r>
        <w:proofErr w:type="spellEnd"/>
        <w:r w:rsidR="008607B3" w:rsidRPr="009A3156">
          <w:rPr>
            <w:rStyle w:val="Hyperlink"/>
            <w:rFonts w:ascii="Times New Roman" w:hAnsi="Times New Roman" w:cs="Times New Roman"/>
            <w:sz w:val="24"/>
            <w:szCs w:val="24"/>
          </w:rPr>
          <w:t xml:space="preserve"> Strategic Consulting, 2014 Annual Lobbying</w:t>
        </w:r>
      </w:hyperlink>
      <w:r w:rsidR="008607B3">
        <w:rPr>
          <w:rFonts w:ascii="Times New Roman" w:hAnsi="Times New Roman" w:cs="Times New Roman"/>
          <w:sz w:val="24"/>
          <w:szCs w:val="24"/>
        </w:rPr>
        <w:t>.</w:t>
      </w:r>
      <w:r w:rsidR="008A7E9F">
        <w:rPr>
          <w:rStyle w:val="FootnoteReference"/>
          <w:rFonts w:ascii="Times New Roman" w:hAnsi="Times New Roman" w:cs="Times New Roman"/>
          <w:sz w:val="24"/>
          <w:szCs w:val="24"/>
        </w:rPr>
        <w:footnoteReference w:id="2"/>
      </w:r>
      <w:r w:rsidR="008607B3">
        <w:rPr>
          <w:rFonts w:ascii="Times New Roman" w:hAnsi="Times New Roman" w:cs="Times New Roman"/>
          <w:sz w:val="24"/>
          <w:szCs w:val="24"/>
        </w:rPr>
        <w:t xml:space="preserve"> </w:t>
      </w:r>
      <w:r w:rsidRPr="007D0D70">
        <w:rPr>
          <w:rFonts w:ascii="Times New Roman" w:hAnsi="Times New Roman" w:cs="Times New Roman"/>
          <w:sz w:val="24"/>
          <w:szCs w:val="24"/>
        </w:rPr>
        <w:t xml:space="preserve">The following are </w:t>
      </w:r>
      <w:proofErr w:type="spellStart"/>
      <w:r w:rsidRPr="007D0D70">
        <w:rPr>
          <w:rFonts w:ascii="Times New Roman" w:hAnsi="Times New Roman" w:cs="Times New Roman"/>
          <w:sz w:val="24"/>
          <w:szCs w:val="24"/>
        </w:rPr>
        <w:t>McBee</w:t>
      </w:r>
      <w:proofErr w:type="spellEnd"/>
      <w:r w:rsidRPr="007D0D70">
        <w:rPr>
          <w:rFonts w:ascii="Times New Roman" w:hAnsi="Times New Roman" w:cs="Times New Roman"/>
          <w:sz w:val="24"/>
          <w:szCs w:val="24"/>
        </w:rPr>
        <w:t xml:space="preserve"> clients with known relationships and contracts with Ohio State:</w:t>
      </w:r>
    </w:p>
    <w:p w:rsidR="00A302C2" w:rsidRPr="007D0D70" w:rsidRDefault="00A302C2" w:rsidP="00E8215E">
      <w:pPr>
        <w:pStyle w:val="ListParagraph"/>
        <w:keepNext/>
        <w:keepLines/>
        <w:numPr>
          <w:ilvl w:val="0"/>
          <w:numId w:val="3"/>
        </w:numPr>
        <w:rPr>
          <w:rFonts w:ascii="Times New Roman" w:hAnsi="Times New Roman" w:cs="Times New Roman"/>
          <w:sz w:val="24"/>
          <w:szCs w:val="24"/>
        </w:rPr>
      </w:pPr>
      <w:r w:rsidRPr="007D0D70">
        <w:rPr>
          <w:rFonts w:ascii="Times New Roman" w:hAnsi="Times New Roman" w:cs="Times New Roman"/>
          <w:sz w:val="24"/>
          <w:szCs w:val="24"/>
        </w:rPr>
        <w:t>Alcoa</w:t>
      </w:r>
    </w:p>
    <w:p w:rsidR="00A302C2" w:rsidRPr="007D0D70" w:rsidRDefault="00A302C2" w:rsidP="00E8215E">
      <w:pPr>
        <w:pStyle w:val="ListParagraph"/>
        <w:keepNext/>
        <w:keepLines/>
        <w:numPr>
          <w:ilvl w:val="0"/>
          <w:numId w:val="3"/>
        </w:numPr>
        <w:rPr>
          <w:rFonts w:ascii="Times New Roman" w:hAnsi="Times New Roman" w:cs="Times New Roman"/>
          <w:sz w:val="24"/>
          <w:szCs w:val="24"/>
        </w:rPr>
      </w:pPr>
      <w:r w:rsidRPr="007D0D70">
        <w:rPr>
          <w:rFonts w:ascii="Times New Roman" w:hAnsi="Times New Roman" w:cs="Times New Roman"/>
          <w:sz w:val="24"/>
          <w:szCs w:val="24"/>
        </w:rPr>
        <w:t>Babcock &amp; Wilcox</w:t>
      </w:r>
    </w:p>
    <w:p w:rsidR="00A302C2" w:rsidRPr="007D0D70" w:rsidRDefault="00A302C2" w:rsidP="00E8215E">
      <w:pPr>
        <w:pStyle w:val="ListParagraph"/>
        <w:keepNext/>
        <w:keepLines/>
        <w:numPr>
          <w:ilvl w:val="0"/>
          <w:numId w:val="3"/>
        </w:numPr>
        <w:rPr>
          <w:rFonts w:ascii="Times New Roman" w:hAnsi="Times New Roman" w:cs="Times New Roman"/>
          <w:sz w:val="24"/>
          <w:szCs w:val="24"/>
        </w:rPr>
      </w:pPr>
      <w:r w:rsidRPr="007D0D70">
        <w:rPr>
          <w:rFonts w:ascii="Times New Roman" w:hAnsi="Times New Roman" w:cs="Times New Roman"/>
          <w:sz w:val="24"/>
          <w:szCs w:val="24"/>
        </w:rPr>
        <w:t>Battelle</w:t>
      </w:r>
    </w:p>
    <w:p w:rsidR="00A302C2" w:rsidRPr="007D0D70" w:rsidRDefault="00A302C2" w:rsidP="00E8215E">
      <w:pPr>
        <w:pStyle w:val="ListParagraph"/>
        <w:keepNext/>
        <w:keepLines/>
        <w:numPr>
          <w:ilvl w:val="0"/>
          <w:numId w:val="3"/>
        </w:numPr>
        <w:rPr>
          <w:rFonts w:ascii="Times New Roman" w:hAnsi="Times New Roman" w:cs="Times New Roman"/>
          <w:sz w:val="24"/>
          <w:szCs w:val="24"/>
        </w:rPr>
      </w:pPr>
      <w:r w:rsidRPr="007D0D70">
        <w:rPr>
          <w:rFonts w:ascii="Times New Roman" w:hAnsi="Times New Roman" w:cs="Times New Roman"/>
          <w:sz w:val="24"/>
          <w:szCs w:val="24"/>
        </w:rPr>
        <w:t>Boeing</w:t>
      </w:r>
    </w:p>
    <w:p w:rsidR="00A302C2" w:rsidRPr="007D0D70" w:rsidRDefault="00A302C2" w:rsidP="00E8215E">
      <w:pPr>
        <w:pStyle w:val="ListParagraph"/>
        <w:keepNext/>
        <w:keepLines/>
        <w:numPr>
          <w:ilvl w:val="0"/>
          <w:numId w:val="3"/>
        </w:numPr>
        <w:rPr>
          <w:rFonts w:ascii="Times New Roman" w:hAnsi="Times New Roman" w:cs="Times New Roman"/>
          <w:sz w:val="24"/>
          <w:szCs w:val="24"/>
        </w:rPr>
      </w:pPr>
      <w:r w:rsidRPr="007D0D70">
        <w:rPr>
          <w:rFonts w:ascii="Times New Roman" w:hAnsi="Times New Roman" w:cs="Times New Roman"/>
          <w:sz w:val="24"/>
          <w:szCs w:val="24"/>
        </w:rPr>
        <w:t>Charter Communications</w:t>
      </w:r>
    </w:p>
    <w:p w:rsidR="00A302C2" w:rsidRPr="007D0D70" w:rsidRDefault="00A302C2" w:rsidP="00E8215E">
      <w:pPr>
        <w:pStyle w:val="ListParagraph"/>
        <w:keepNext/>
        <w:keepLines/>
        <w:numPr>
          <w:ilvl w:val="0"/>
          <w:numId w:val="3"/>
        </w:numPr>
        <w:rPr>
          <w:rFonts w:ascii="Times New Roman" w:hAnsi="Times New Roman" w:cs="Times New Roman"/>
          <w:sz w:val="24"/>
          <w:szCs w:val="24"/>
        </w:rPr>
      </w:pPr>
      <w:r w:rsidRPr="007D0D70">
        <w:rPr>
          <w:rFonts w:ascii="Times New Roman" w:hAnsi="Times New Roman" w:cs="Times New Roman"/>
          <w:sz w:val="24"/>
          <w:szCs w:val="24"/>
        </w:rPr>
        <w:t>Citigroup</w:t>
      </w:r>
    </w:p>
    <w:p w:rsidR="00A302C2" w:rsidRPr="007D0D70" w:rsidRDefault="00A302C2" w:rsidP="00E8215E">
      <w:pPr>
        <w:pStyle w:val="ListParagraph"/>
        <w:keepNext/>
        <w:keepLines/>
        <w:numPr>
          <w:ilvl w:val="0"/>
          <w:numId w:val="3"/>
        </w:numPr>
        <w:rPr>
          <w:rFonts w:ascii="Times New Roman" w:hAnsi="Times New Roman" w:cs="Times New Roman"/>
          <w:sz w:val="24"/>
          <w:szCs w:val="24"/>
        </w:rPr>
      </w:pPr>
      <w:r w:rsidRPr="007D0D70">
        <w:rPr>
          <w:rFonts w:ascii="Times New Roman" w:hAnsi="Times New Roman" w:cs="Times New Roman"/>
          <w:sz w:val="24"/>
          <w:szCs w:val="24"/>
        </w:rPr>
        <w:t>Eastman Chemical</w:t>
      </w:r>
    </w:p>
    <w:p w:rsidR="00A302C2" w:rsidRPr="007D0D70" w:rsidRDefault="00A302C2" w:rsidP="00E8215E">
      <w:pPr>
        <w:pStyle w:val="ListParagraph"/>
        <w:keepNext/>
        <w:keepLines/>
        <w:numPr>
          <w:ilvl w:val="0"/>
          <w:numId w:val="3"/>
        </w:numPr>
        <w:rPr>
          <w:rFonts w:ascii="Times New Roman" w:hAnsi="Times New Roman" w:cs="Times New Roman"/>
          <w:sz w:val="24"/>
          <w:szCs w:val="24"/>
        </w:rPr>
      </w:pPr>
      <w:r w:rsidRPr="007D0D70">
        <w:rPr>
          <w:rFonts w:ascii="Times New Roman" w:hAnsi="Times New Roman" w:cs="Times New Roman"/>
          <w:sz w:val="24"/>
          <w:szCs w:val="24"/>
        </w:rPr>
        <w:t>Enterprise Community Partners</w:t>
      </w:r>
    </w:p>
    <w:p w:rsidR="00A302C2" w:rsidRPr="007D0D70" w:rsidRDefault="00A302C2" w:rsidP="00E8215E">
      <w:pPr>
        <w:pStyle w:val="ListParagraph"/>
        <w:keepNext/>
        <w:keepLines/>
        <w:numPr>
          <w:ilvl w:val="0"/>
          <w:numId w:val="3"/>
        </w:numPr>
        <w:rPr>
          <w:rFonts w:ascii="Times New Roman" w:hAnsi="Times New Roman" w:cs="Times New Roman"/>
          <w:sz w:val="24"/>
          <w:szCs w:val="24"/>
        </w:rPr>
      </w:pPr>
      <w:r w:rsidRPr="007D0D70">
        <w:rPr>
          <w:rFonts w:ascii="Times New Roman" w:hAnsi="Times New Roman" w:cs="Times New Roman"/>
          <w:sz w:val="24"/>
          <w:szCs w:val="24"/>
        </w:rPr>
        <w:t>General Electric</w:t>
      </w:r>
    </w:p>
    <w:p w:rsidR="00A302C2" w:rsidRPr="007D0D70" w:rsidRDefault="00A302C2" w:rsidP="00E8215E">
      <w:pPr>
        <w:pStyle w:val="ListParagraph"/>
        <w:keepNext/>
        <w:keepLines/>
        <w:numPr>
          <w:ilvl w:val="0"/>
          <w:numId w:val="3"/>
        </w:numPr>
        <w:rPr>
          <w:rFonts w:ascii="Times New Roman" w:hAnsi="Times New Roman" w:cs="Times New Roman"/>
          <w:sz w:val="24"/>
          <w:szCs w:val="24"/>
        </w:rPr>
      </w:pPr>
      <w:r w:rsidRPr="007D0D70">
        <w:rPr>
          <w:rFonts w:ascii="Times New Roman" w:hAnsi="Times New Roman" w:cs="Times New Roman"/>
          <w:sz w:val="24"/>
          <w:szCs w:val="24"/>
        </w:rPr>
        <w:t>Google</w:t>
      </w:r>
    </w:p>
    <w:p w:rsidR="00A302C2" w:rsidRPr="007D0D70" w:rsidRDefault="00A302C2" w:rsidP="00E8215E">
      <w:pPr>
        <w:pStyle w:val="ListParagraph"/>
        <w:keepNext/>
        <w:keepLines/>
        <w:numPr>
          <w:ilvl w:val="0"/>
          <w:numId w:val="3"/>
        </w:numPr>
        <w:rPr>
          <w:rFonts w:ascii="Times New Roman" w:hAnsi="Times New Roman" w:cs="Times New Roman"/>
          <w:sz w:val="24"/>
          <w:szCs w:val="24"/>
        </w:rPr>
      </w:pPr>
      <w:r w:rsidRPr="007D0D70">
        <w:rPr>
          <w:rFonts w:ascii="Times New Roman" w:hAnsi="Times New Roman" w:cs="Times New Roman"/>
          <w:sz w:val="24"/>
          <w:szCs w:val="24"/>
        </w:rPr>
        <w:t>Honeywell</w:t>
      </w:r>
    </w:p>
    <w:p w:rsidR="00A302C2" w:rsidRPr="007D0D70" w:rsidRDefault="00A302C2" w:rsidP="00E8215E">
      <w:pPr>
        <w:pStyle w:val="ListParagraph"/>
        <w:keepNext/>
        <w:keepLines/>
        <w:numPr>
          <w:ilvl w:val="0"/>
          <w:numId w:val="3"/>
        </w:numPr>
        <w:rPr>
          <w:rFonts w:ascii="Times New Roman" w:hAnsi="Times New Roman" w:cs="Times New Roman"/>
          <w:sz w:val="24"/>
          <w:szCs w:val="24"/>
        </w:rPr>
      </w:pPr>
      <w:r w:rsidRPr="007D0D70">
        <w:rPr>
          <w:rFonts w:ascii="Times New Roman" w:hAnsi="Times New Roman" w:cs="Times New Roman"/>
          <w:sz w:val="24"/>
          <w:szCs w:val="24"/>
        </w:rPr>
        <w:t>JPMorgan Chase</w:t>
      </w:r>
    </w:p>
    <w:p w:rsidR="00A302C2" w:rsidRPr="007D0D70" w:rsidRDefault="00A302C2" w:rsidP="00E8215E">
      <w:pPr>
        <w:pStyle w:val="ListParagraph"/>
        <w:keepNext/>
        <w:keepLines/>
        <w:numPr>
          <w:ilvl w:val="0"/>
          <w:numId w:val="3"/>
        </w:numPr>
        <w:rPr>
          <w:rFonts w:ascii="Times New Roman" w:hAnsi="Times New Roman" w:cs="Times New Roman"/>
          <w:sz w:val="24"/>
          <w:szCs w:val="24"/>
        </w:rPr>
      </w:pPr>
      <w:r w:rsidRPr="007D0D70">
        <w:rPr>
          <w:rFonts w:ascii="Times New Roman" w:hAnsi="Times New Roman" w:cs="Times New Roman"/>
          <w:sz w:val="24"/>
          <w:szCs w:val="24"/>
        </w:rPr>
        <w:t>National Venture Capital Association</w:t>
      </w:r>
    </w:p>
    <w:p w:rsidR="00A302C2" w:rsidRPr="007D0D70" w:rsidRDefault="00A302C2" w:rsidP="00E8215E">
      <w:pPr>
        <w:pStyle w:val="ListParagraph"/>
        <w:keepNext/>
        <w:keepLines/>
        <w:numPr>
          <w:ilvl w:val="0"/>
          <w:numId w:val="3"/>
        </w:numPr>
        <w:rPr>
          <w:rFonts w:ascii="Times New Roman" w:hAnsi="Times New Roman" w:cs="Times New Roman"/>
          <w:sz w:val="24"/>
          <w:szCs w:val="24"/>
        </w:rPr>
      </w:pPr>
      <w:r w:rsidRPr="007D0D70">
        <w:rPr>
          <w:rFonts w:ascii="Times New Roman" w:hAnsi="Times New Roman" w:cs="Times New Roman"/>
          <w:sz w:val="24"/>
          <w:szCs w:val="24"/>
        </w:rPr>
        <w:t>Oracle</w:t>
      </w:r>
    </w:p>
    <w:p w:rsidR="00A302C2" w:rsidRPr="007D0D70" w:rsidRDefault="00A302C2" w:rsidP="00E8215E">
      <w:pPr>
        <w:pStyle w:val="ListParagraph"/>
        <w:keepNext/>
        <w:keepLines/>
        <w:numPr>
          <w:ilvl w:val="0"/>
          <w:numId w:val="3"/>
        </w:numPr>
        <w:rPr>
          <w:rFonts w:ascii="Times New Roman" w:hAnsi="Times New Roman" w:cs="Times New Roman"/>
          <w:sz w:val="24"/>
          <w:szCs w:val="24"/>
        </w:rPr>
      </w:pPr>
      <w:r w:rsidRPr="007D0D70">
        <w:rPr>
          <w:rFonts w:ascii="Times New Roman" w:hAnsi="Times New Roman" w:cs="Times New Roman"/>
          <w:sz w:val="24"/>
          <w:szCs w:val="24"/>
        </w:rPr>
        <w:t>Praxair</w:t>
      </w:r>
    </w:p>
    <w:p w:rsidR="00A302C2" w:rsidRPr="007D0D70" w:rsidRDefault="00A302C2" w:rsidP="00A302C2">
      <w:pPr>
        <w:pStyle w:val="ListParagraph"/>
        <w:numPr>
          <w:ilvl w:val="0"/>
          <w:numId w:val="3"/>
        </w:numPr>
        <w:rPr>
          <w:rFonts w:ascii="Times New Roman" w:hAnsi="Times New Roman" w:cs="Times New Roman"/>
          <w:sz w:val="24"/>
          <w:szCs w:val="24"/>
        </w:rPr>
      </w:pPr>
      <w:r w:rsidRPr="007D0D70">
        <w:rPr>
          <w:rFonts w:ascii="Times New Roman" w:hAnsi="Times New Roman" w:cs="Times New Roman"/>
          <w:sz w:val="24"/>
          <w:szCs w:val="24"/>
        </w:rPr>
        <w:t>Time Warner</w:t>
      </w:r>
    </w:p>
    <w:p w:rsidR="00CC11AC" w:rsidRPr="003911B1" w:rsidRDefault="00CC11AC" w:rsidP="003911B1">
      <w:pPr>
        <w:ind w:left="-720" w:right="-720" w:firstLine="450"/>
        <w:rPr>
          <w:rFonts w:cs="Times New Roman"/>
          <w:color w:val="000000" w:themeColor="text1"/>
          <w:sz w:val="18"/>
          <w:szCs w:val="18"/>
        </w:rPr>
      </w:pPr>
      <w:r w:rsidRPr="003911B1">
        <w:rPr>
          <w:rFonts w:cs="Times New Roman"/>
          <w:b/>
          <w:noProof/>
          <w:color w:val="FF0000"/>
          <w:sz w:val="18"/>
          <w:szCs w:val="18"/>
        </w:rPr>
        <w:lastRenderedPageBreak/>
        <w:drawing>
          <wp:inline distT="0" distB="0" distL="0" distR="0" wp14:anchorId="33E96064" wp14:editId="1B23AFBA">
            <wp:extent cx="6320547" cy="5724525"/>
            <wp:effectExtent l="0" t="0" r="4445" b="0"/>
            <wp:docPr id="2" name="Picture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ty Montgomery MCLOX investment-compile.jpg"/>
                    <pic:cNvPicPr/>
                  </pic:nvPicPr>
                  <pic:blipFill rotWithShape="1">
                    <a:blip r:embed="rId12" cstate="print">
                      <a:extLst>
                        <a:ext uri="{28A0092B-C50C-407E-A947-70E740481C1C}">
                          <a14:useLocalDpi xmlns:a14="http://schemas.microsoft.com/office/drawing/2010/main" val="0"/>
                        </a:ext>
                      </a:extLst>
                    </a:blip>
                    <a:srcRect l="6252" t="6747" r="7975" b="33209"/>
                    <a:stretch/>
                  </pic:blipFill>
                  <pic:spPr bwMode="auto">
                    <a:xfrm>
                      <a:off x="0" y="0"/>
                      <a:ext cx="6332934" cy="5735744"/>
                    </a:xfrm>
                    <a:prstGeom prst="rect">
                      <a:avLst/>
                    </a:prstGeom>
                    <a:ln>
                      <a:noFill/>
                    </a:ln>
                    <a:extLst>
                      <a:ext uri="{53640926-AAD7-44D8-BBD7-CCE9431645EC}">
                        <a14:shadowObscured xmlns:a14="http://schemas.microsoft.com/office/drawing/2010/main"/>
                      </a:ext>
                    </a:extLst>
                  </pic:spPr>
                </pic:pic>
              </a:graphicData>
            </a:graphic>
          </wp:inline>
        </w:drawing>
      </w:r>
      <w:r w:rsidR="008A7E9F">
        <w:rPr>
          <w:rFonts w:cs="Times New Roman"/>
          <w:color w:val="000000" w:themeColor="text1"/>
          <w:sz w:val="18"/>
          <w:szCs w:val="18"/>
        </w:rPr>
        <w:t xml:space="preserve"> </w:t>
      </w:r>
    </w:p>
    <w:p w:rsidR="008A7E9F" w:rsidRDefault="008A7E9F" w:rsidP="008A7E9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imes New Roman" w:hAnsi="Times New Roman" w:cs="Times New Roman"/>
          <w:b/>
          <w:color w:val="FF0000"/>
          <w:sz w:val="24"/>
          <w:szCs w:val="24"/>
        </w:rPr>
      </w:pPr>
    </w:p>
    <w:p w:rsidR="008A7E9F" w:rsidRPr="0091662C" w:rsidRDefault="001C12C9" w:rsidP="008A7E9F">
      <w:pPr>
        <w:pBdr>
          <w:top w:val="single" w:sz="4" w:space="1" w:color="auto"/>
          <w:left w:val="single" w:sz="4" w:space="4" w:color="auto"/>
          <w:bottom w:val="single" w:sz="4" w:space="1" w:color="auto"/>
          <w:right w:val="single" w:sz="4" w:space="4" w:color="auto"/>
        </w:pBdr>
        <w:shd w:val="clear" w:color="auto" w:fill="F2F2F2" w:themeFill="background1" w:themeFillShade="F2"/>
        <w:ind w:firstLine="720"/>
        <w:rPr>
          <w:rFonts w:ascii="Times New Roman" w:hAnsi="Times New Roman" w:cs="Times New Roman"/>
          <w:b/>
          <w:color w:val="C00000"/>
          <w:sz w:val="24"/>
          <w:szCs w:val="24"/>
        </w:rPr>
      </w:pPr>
      <w:r w:rsidRPr="0091662C">
        <w:rPr>
          <w:rFonts w:ascii="Times New Roman" w:hAnsi="Times New Roman" w:cs="Times New Roman"/>
          <w:b/>
          <w:color w:val="C00000"/>
          <w:sz w:val="24"/>
          <w:szCs w:val="24"/>
        </w:rPr>
        <w:t xml:space="preserve">Betty Montgomery failed to disclose that she is invested in 14 of the 16 </w:t>
      </w:r>
      <w:proofErr w:type="spellStart"/>
      <w:r w:rsidRPr="0091662C">
        <w:rPr>
          <w:rFonts w:ascii="Times New Roman" w:hAnsi="Times New Roman" w:cs="Times New Roman"/>
          <w:b/>
          <w:color w:val="C00000"/>
          <w:sz w:val="24"/>
          <w:szCs w:val="24"/>
        </w:rPr>
        <w:t>McBee</w:t>
      </w:r>
      <w:proofErr w:type="spellEnd"/>
      <w:r w:rsidRPr="0091662C">
        <w:rPr>
          <w:rFonts w:ascii="Times New Roman" w:hAnsi="Times New Roman" w:cs="Times New Roman"/>
          <w:b/>
          <w:color w:val="C00000"/>
          <w:sz w:val="24"/>
          <w:szCs w:val="24"/>
        </w:rPr>
        <w:t xml:space="preserve"> </w:t>
      </w:r>
      <w:r w:rsidR="00D97B32" w:rsidRPr="0091662C">
        <w:rPr>
          <w:rFonts w:ascii="Times New Roman" w:hAnsi="Times New Roman" w:cs="Times New Roman"/>
          <w:b/>
          <w:color w:val="C00000"/>
          <w:sz w:val="24"/>
          <w:szCs w:val="24"/>
        </w:rPr>
        <w:t xml:space="preserve">Strategic </w:t>
      </w:r>
      <w:r w:rsidRPr="0091662C">
        <w:rPr>
          <w:rFonts w:ascii="Times New Roman" w:hAnsi="Times New Roman" w:cs="Times New Roman"/>
          <w:b/>
          <w:color w:val="C00000"/>
          <w:sz w:val="24"/>
          <w:szCs w:val="24"/>
        </w:rPr>
        <w:t>clients</w:t>
      </w:r>
      <w:r w:rsidR="000F3714" w:rsidRPr="0091662C">
        <w:rPr>
          <w:rFonts w:ascii="Times New Roman" w:hAnsi="Times New Roman" w:cs="Times New Roman"/>
          <w:b/>
          <w:color w:val="C00000"/>
          <w:sz w:val="24"/>
          <w:szCs w:val="24"/>
        </w:rPr>
        <w:t>,</w:t>
      </w:r>
      <w:r w:rsidRPr="0091662C">
        <w:rPr>
          <w:rFonts w:ascii="Times New Roman" w:hAnsi="Times New Roman" w:cs="Times New Roman"/>
          <w:b/>
          <w:color w:val="C00000"/>
          <w:sz w:val="24"/>
          <w:szCs w:val="24"/>
        </w:rPr>
        <w:t xml:space="preserve"> who also have contracts and relationships with OSU Trustee president Jeffrey Wadsworth, </w:t>
      </w:r>
      <w:r w:rsidR="000F3714" w:rsidRPr="0091662C">
        <w:rPr>
          <w:rFonts w:ascii="Times New Roman" w:hAnsi="Times New Roman" w:cs="Times New Roman"/>
          <w:b/>
          <w:color w:val="C00000"/>
          <w:sz w:val="24"/>
          <w:szCs w:val="24"/>
        </w:rPr>
        <w:t>President</w:t>
      </w:r>
      <w:r w:rsidRPr="0091662C">
        <w:rPr>
          <w:rFonts w:ascii="Times New Roman" w:hAnsi="Times New Roman" w:cs="Times New Roman"/>
          <w:b/>
          <w:color w:val="C00000"/>
          <w:sz w:val="24"/>
          <w:szCs w:val="24"/>
        </w:rPr>
        <w:t xml:space="preserve"> Michael V. Drake and the university. </w:t>
      </w:r>
      <w:r w:rsidR="003911B1" w:rsidRPr="0091662C">
        <w:rPr>
          <w:rFonts w:ascii="Times New Roman" w:hAnsi="Times New Roman" w:cs="Times New Roman"/>
          <w:b/>
          <w:color w:val="C00000"/>
          <w:sz w:val="24"/>
          <w:szCs w:val="24"/>
        </w:rPr>
        <w:t xml:space="preserve">In fact, </w:t>
      </w:r>
      <w:r w:rsidR="008A7E9F" w:rsidRPr="0091662C">
        <w:rPr>
          <w:rFonts w:ascii="Times New Roman" w:hAnsi="Times New Roman" w:cs="Times New Roman"/>
          <w:b/>
          <w:color w:val="C00000"/>
          <w:sz w:val="24"/>
          <w:szCs w:val="24"/>
        </w:rPr>
        <w:t xml:space="preserve">a director for </w:t>
      </w:r>
      <w:proofErr w:type="spellStart"/>
      <w:r w:rsidR="008A7E9F" w:rsidRPr="0091662C">
        <w:rPr>
          <w:rFonts w:ascii="Times New Roman" w:hAnsi="Times New Roman" w:cs="Times New Roman"/>
          <w:b/>
          <w:color w:val="C00000"/>
          <w:sz w:val="24"/>
          <w:szCs w:val="24"/>
        </w:rPr>
        <w:t>McBee’s</w:t>
      </w:r>
      <w:proofErr w:type="spellEnd"/>
      <w:r w:rsidR="008A7E9F" w:rsidRPr="0091662C">
        <w:rPr>
          <w:rFonts w:ascii="Times New Roman" w:hAnsi="Times New Roman" w:cs="Times New Roman"/>
          <w:b/>
          <w:color w:val="C00000"/>
          <w:sz w:val="24"/>
          <w:szCs w:val="24"/>
        </w:rPr>
        <w:t xml:space="preserve"> Eastman Chemical client, Robert M. Hernandez, is chairman of Montgomery’s </w:t>
      </w:r>
      <w:proofErr w:type="spellStart"/>
      <w:r w:rsidR="008A7E9F" w:rsidRPr="0091662C">
        <w:rPr>
          <w:rFonts w:ascii="Times New Roman" w:hAnsi="Times New Roman" w:cs="Times New Roman"/>
          <w:b/>
          <w:color w:val="C00000"/>
          <w:sz w:val="24"/>
          <w:szCs w:val="24"/>
        </w:rPr>
        <w:t>BlackRock</w:t>
      </w:r>
      <w:proofErr w:type="spellEnd"/>
      <w:r w:rsidR="008A7E9F" w:rsidRPr="0091662C">
        <w:rPr>
          <w:rFonts w:ascii="Times New Roman" w:hAnsi="Times New Roman" w:cs="Times New Roman"/>
          <w:b/>
          <w:color w:val="C00000"/>
          <w:sz w:val="24"/>
          <w:szCs w:val="24"/>
        </w:rPr>
        <w:t xml:space="preserve"> fund (Stock Symbol MCLOX).</w:t>
      </w:r>
      <w:r w:rsidR="008A7E9F" w:rsidRPr="0091662C">
        <w:rPr>
          <w:rStyle w:val="FootnoteReference"/>
          <w:rFonts w:ascii="Times New Roman" w:hAnsi="Times New Roman" w:cs="Times New Roman"/>
          <w:b/>
          <w:color w:val="C00000"/>
          <w:sz w:val="24"/>
          <w:szCs w:val="24"/>
        </w:rPr>
        <w:footnoteReference w:id="3"/>
      </w:r>
      <w:r w:rsidR="008A7E9F" w:rsidRPr="0091662C">
        <w:rPr>
          <w:rFonts w:ascii="Times New Roman" w:hAnsi="Times New Roman" w:cs="Times New Roman"/>
          <w:b/>
          <w:color w:val="C00000"/>
          <w:sz w:val="24"/>
          <w:szCs w:val="24"/>
        </w:rPr>
        <w:t xml:space="preserve"> </w:t>
      </w:r>
      <w:r w:rsidR="00E8215E" w:rsidRPr="0091662C">
        <w:rPr>
          <w:rFonts w:ascii="Times New Roman" w:hAnsi="Times New Roman" w:cs="Times New Roman"/>
          <w:b/>
          <w:color w:val="C00000"/>
          <w:sz w:val="24"/>
          <w:szCs w:val="24"/>
        </w:rPr>
        <w:t>Such nondisclosure is against the law.</w:t>
      </w:r>
      <w:r w:rsidR="0091662C" w:rsidRPr="0091662C">
        <w:rPr>
          <w:rFonts w:ascii="Times New Roman" w:hAnsi="Times New Roman" w:cs="Times New Roman"/>
          <w:b/>
          <w:color w:val="C00000"/>
          <w:sz w:val="24"/>
          <w:szCs w:val="24"/>
        </w:rPr>
        <w:t xml:space="preserve"> If the nondisclosure was an intentional deception, it is criminal.</w:t>
      </w:r>
    </w:p>
    <w:p w:rsidR="008A7E9F" w:rsidRPr="008A7E9F" w:rsidRDefault="008A7E9F" w:rsidP="008A7E9F">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imes New Roman" w:hAnsi="Times New Roman" w:cs="Times New Roman"/>
          <w:b/>
          <w:color w:val="FF0000"/>
          <w:sz w:val="10"/>
          <w:szCs w:val="24"/>
        </w:rPr>
      </w:pPr>
    </w:p>
    <w:p w:rsidR="008A7E9F" w:rsidRDefault="008A7E9F" w:rsidP="007D0D70">
      <w:pPr>
        <w:rPr>
          <w:rFonts w:ascii="Times New Roman" w:hAnsi="Times New Roman" w:cs="Times New Roman"/>
          <w:sz w:val="24"/>
          <w:szCs w:val="24"/>
        </w:rPr>
      </w:pPr>
    </w:p>
    <w:p w:rsidR="008A7E9F" w:rsidRDefault="008A7E9F" w:rsidP="007D0D70">
      <w:pPr>
        <w:rPr>
          <w:rFonts w:ascii="Times New Roman" w:hAnsi="Times New Roman" w:cs="Times New Roman"/>
          <w:sz w:val="24"/>
          <w:szCs w:val="24"/>
        </w:rPr>
      </w:pPr>
    </w:p>
    <w:p w:rsidR="007115D3" w:rsidRPr="007D0D70" w:rsidRDefault="008A7E9F" w:rsidP="008A7E9F">
      <w:pPr>
        <w:ind w:firstLine="72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-45720</wp:posOffset>
                </wp:positionH>
                <wp:positionV relativeFrom="paragraph">
                  <wp:posOffset>47625</wp:posOffset>
                </wp:positionV>
                <wp:extent cx="2590800" cy="1076325"/>
                <wp:effectExtent l="0" t="0" r="19050" b="28575"/>
                <wp:wrapSquare wrapText="bothSides"/>
                <wp:docPr id="3" name="Rectangle 3"/>
                <wp:cNvGraphicFramePr/>
                <a:graphic xmlns:a="http://schemas.openxmlformats.org/drawingml/2006/main">
                  <a:graphicData uri="http://schemas.microsoft.com/office/word/2010/wordprocessingShape">
                    <wps:wsp>
                      <wps:cNvSpPr/>
                      <wps:spPr>
                        <a:xfrm>
                          <a:off x="0" y="0"/>
                          <a:ext cx="2590800" cy="1076325"/>
                        </a:xfrm>
                        <a:prstGeom prst="rect">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A7E9F" w:rsidRPr="008A7E9F" w:rsidRDefault="008A7E9F" w:rsidP="008A7E9F">
                            <w:pPr>
                              <w:spacing w:after="0" w:line="240" w:lineRule="auto"/>
                              <w:jc w:val="center"/>
                              <w:rPr>
                                <w:b/>
                                <w:sz w:val="32"/>
                              </w:rPr>
                            </w:pPr>
                            <w:r w:rsidRPr="008A7E9F">
                              <w:rPr>
                                <w:b/>
                                <w:sz w:val="32"/>
                              </w:rPr>
                              <w:t xml:space="preserve">Conflict: </w:t>
                            </w:r>
                            <w:proofErr w:type="spellStart"/>
                            <w:r w:rsidRPr="008A7E9F">
                              <w:rPr>
                                <w:b/>
                                <w:sz w:val="32"/>
                              </w:rPr>
                              <w:t>Wellpoint</w:t>
                            </w:r>
                            <w:proofErr w:type="spellEnd"/>
                            <w:r w:rsidRPr="008A7E9F">
                              <w:rPr>
                                <w:b/>
                                <w:sz w:val="32"/>
                              </w:rPr>
                              <w:t>, Inc.</w:t>
                            </w:r>
                          </w:p>
                          <w:p w:rsidR="008A7E9F" w:rsidRPr="008A7E9F" w:rsidRDefault="008A7E9F" w:rsidP="008A7E9F">
                            <w:pPr>
                              <w:spacing w:after="0" w:line="240" w:lineRule="auto"/>
                              <w:jc w:val="center"/>
                            </w:pPr>
                            <w:proofErr w:type="gramStart"/>
                            <w:r w:rsidRPr="008A7E9F">
                              <w:t xml:space="preserve">Conflict with Michael V. Drake &amp; his colleague, Woodrow A. Myers, Chief Medical Officer, </w:t>
                            </w:r>
                            <w:proofErr w:type="spellStart"/>
                            <w:r w:rsidRPr="008A7E9F">
                              <w:t>Wellpoint</w:t>
                            </w:r>
                            <w:proofErr w:type="spellEnd"/>
                            <w:r w:rsidRPr="008A7E9F">
                              <w:t>, Inc.</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7" style="position:absolute;left:0;text-align:left;margin-left:-3.6pt;margin-top:3.75pt;width:204pt;height:8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" fillcolor="red" strokecolor="black [3213]" strokeweight="2pt">
                <v:textbox>
                  <w:txbxContent>
                    <w:p w:rsidR="008A7E9F" w:rsidRPr="008A7E9F" w:rsidRDefault="008A7E9F" w:rsidP="008A7E9F">
                      <w:pPr>
                        <w:spacing w:after="0" w:line="240" w:lineRule="auto"/>
                        <w:jc w:val="center"/>
                        <w:rPr>
                          <w:b/>
                          <w:sz w:val="32"/>
                        </w:rPr>
                      </w:pPr>
                      <w:r w:rsidRPr="008A7E9F">
                        <w:rPr>
                          <w:b/>
                          <w:sz w:val="32"/>
                        </w:rPr>
                        <w:t xml:space="preserve">Conflict: </w:t>
                      </w:r>
                      <w:proofErr w:type="spellStart"/>
                      <w:r w:rsidRPr="008A7E9F">
                        <w:rPr>
                          <w:b/>
                          <w:sz w:val="32"/>
                        </w:rPr>
                        <w:t>Wellpoint</w:t>
                      </w:r>
                      <w:proofErr w:type="spellEnd"/>
                      <w:r w:rsidRPr="008A7E9F">
                        <w:rPr>
                          <w:b/>
                          <w:sz w:val="32"/>
                        </w:rPr>
                        <w:t>, Inc.</w:t>
                      </w:r>
                    </w:p>
                    <w:p w:rsidR="008A7E9F" w:rsidRPr="008A7E9F" w:rsidRDefault="008A7E9F" w:rsidP="008A7E9F">
                      <w:pPr>
                        <w:spacing w:after="0" w:line="240" w:lineRule="auto"/>
                        <w:jc w:val="center"/>
                      </w:pPr>
                      <w:proofErr w:type="gramStart"/>
                      <w:r w:rsidRPr="008A7E9F">
                        <w:t xml:space="preserve">Conflict with Michael V. Drake &amp; his colleague, Woodrow A. Myers, Chief Medical Officer, </w:t>
                      </w:r>
                      <w:proofErr w:type="spellStart"/>
                      <w:r w:rsidRPr="008A7E9F">
                        <w:t>Wellpoint</w:t>
                      </w:r>
                      <w:proofErr w:type="spellEnd"/>
                      <w:r w:rsidRPr="008A7E9F">
                        <w:t>, Inc.</w:t>
                      </w:r>
                      <w:proofErr w:type="gramEnd"/>
                    </w:p>
                  </w:txbxContent>
                </v:textbox>
                <w10:wrap type="square"/>
              </v:rect>
            </w:pict>
          </mc:Fallback>
        </mc:AlternateContent>
      </w:r>
      <w:r w:rsidR="001C12C9" w:rsidRPr="007D0D70">
        <w:rPr>
          <w:rFonts w:ascii="Times New Roman" w:hAnsi="Times New Roman" w:cs="Times New Roman"/>
          <w:sz w:val="24"/>
          <w:szCs w:val="24"/>
        </w:rPr>
        <w:t xml:space="preserve">In fact, Montgomery even holds stock in </w:t>
      </w:r>
      <w:proofErr w:type="spellStart"/>
      <w:r w:rsidR="001C12C9" w:rsidRPr="007D0D70">
        <w:rPr>
          <w:rFonts w:ascii="Times New Roman" w:hAnsi="Times New Roman" w:cs="Times New Roman"/>
          <w:sz w:val="24"/>
          <w:szCs w:val="24"/>
        </w:rPr>
        <w:t>Wellpoint</w:t>
      </w:r>
      <w:proofErr w:type="spellEnd"/>
      <w:r w:rsidR="001C12C9" w:rsidRPr="007D0D70">
        <w:rPr>
          <w:rFonts w:ascii="Times New Roman" w:hAnsi="Times New Roman" w:cs="Times New Roman"/>
          <w:sz w:val="24"/>
          <w:szCs w:val="24"/>
        </w:rPr>
        <w:t xml:space="preserve">, Inc. </w:t>
      </w:r>
      <w:r w:rsidR="00CC11AC">
        <w:rPr>
          <w:rFonts w:ascii="Times New Roman" w:hAnsi="Times New Roman" w:cs="Times New Roman"/>
          <w:sz w:val="24"/>
          <w:szCs w:val="24"/>
        </w:rPr>
        <w:t xml:space="preserve">(see Table 1, No. 23) </w:t>
      </w:r>
      <w:r w:rsidR="00D97B32">
        <w:rPr>
          <w:rFonts w:ascii="Times New Roman" w:hAnsi="Times New Roman" w:cs="Times New Roman"/>
          <w:sz w:val="24"/>
          <w:szCs w:val="24"/>
        </w:rPr>
        <w:t>which</w:t>
      </w:r>
      <w:r w:rsidR="001C12C9" w:rsidRPr="007D0D70">
        <w:rPr>
          <w:rFonts w:ascii="Times New Roman" w:hAnsi="Times New Roman" w:cs="Times New Roman"/>
          <w:sz w:val="24"/>
          <w:szCs w:val="24"/>
        </w:rPr>
        <w:t xml:space="preserve"> </w:t>
      </w:r>
      <w:r w:rsidR="00D97B32">
        <w:rPr>
          <w:rFonts w:ascii="Times New Roman" w:hAnsi="Times New Roman" w:cs="Times New Roman"/>
          <w:sz w:val="24"/>
          <w:szCs w:val="24"/>
        </w:rPr>
        <w:t>donated to her campaign in 2006.</w:t>
      </w:r>
      <w:r w:rsidR="0091662C">
        <w:rPr>
          <w:rStyle w:val="FootnoteReference"/>
          <w:rFonts w:ascii="Times New Roman" w:hAnsi="Times New Roman" w:cs="Times New Roman"/>
          <w:sz w:val="24"/>
          <w:szCs w:val="24"/>
        </w:rPr>
        <w:footnoteReference w:id="4"/>
      </w:r>
      <w:r w:rsidR="00D97B32">
        <w:rPr>
          <w:rFonts w:ascii="Times New Roman" w:hAnsi="Times New Roman" w:cs="Times New Roman"/>
          <w:sz w:val="24"/>
          <w:szCs w:val="24"/>
        </w:rPr>
        <w:t xml:space="preserve"> Woodrow A. Myers is</w:t>
      </w:r>
      <w:r w:rsidR="001C12C9" w:rsidRPr="007D0D70">
        <w:rPr>
          <w:rFonts w:ascii="Times New Roman" w:hAnsi="Times New Roman" w:cs="Times New Roman"/>
          <w:sz w:val="24"/>
          <w:szCs w:val="24"/>
        </w:rPr>
        <w:t xml:space="preserve"> chief medical officer at </w:t>
      </w:r>
      <w:proofErr w:type="spellStart"/>
      <w:r w:rsidR="001C12C9" w:rsidRPr="007D0D70">
        <w:rPr>
          <w:rFonts w:ascii="Times New Roman" w:hAnsi="Times New Roman" w:cs="Times New Roman"/>
          <w:sz w:val="24"/>
          <w:szCs w:val="24"/>
        </w:rPr>
        <w:t>Wellpoint</w:t>
      </w:r>
      <w:proofErr w:type="spellEnd"/>
      <w:r w:rsidR="001C12C9" w:rsidRPr="007D0D70">
        <w:rPr>
          <w:rFonts w:ascii="Times New Roman" w:hAnsi="Times New Roman" w:cs="Times New Roman"/>
          <w:sz w:val="24"/>
          <w:szCs w:val="24"/>
        </w:rPr>
        <w:t>, Inc.</w:t>
      </w:r>
      <w:r w:rsidR="001D07F6">
        <w:rPr>
          <w:rFonts w:ascii="Times New Roman" w:hAnsi="Times New Roman" w:cs="Times New Roman"/>
          <w:sz w:val="24"/>
          <w:szCs w:val="24"/>
        </w:rPr>
        <w:t xml:space="preserve"> </w:t>
      </w:r>
      <w:r w:rsidR="00D97B32">
        <w:rPr>
          <w:rFonts w:ascii="Times New Roman" w:hAnsi="Times New Roman" w:cs="Times New Roman"/>
          <w:sz w:val="24"/>
          <w:szCs w:val="24"/>
        </w:rPr>
        <w:t xml:space="preserve">and is a Stanford black alumni colleague of OSU President Michael V. Drake. </w:t>
      </w:r>
      <w:r w:rsidR="001D07F6" w:rsidRPr="001D07F6">
        <w:rPr>
          <w:rFonts w:ascii="Times New Roman" w:hAnsi="Times New Roman" w:cs="Times New Roman"/>
          <w:i/>
          <w:sz w:val="24"/>
          <w:szCs w:val="24"/>
        </w:rPr>
        <w:t>See</w:t>
      </w:r>
      <w:r w:rsidR="001D07F6">
        <w:rPr>
          <w:rFonts w:ascii="Times New Roman" w:hAnsi="Times New Roman" w:cs="Times New Roman"/>
          <w:sz w:val="24"/>
          <w:szCs w:val="24"/>
        </w:rPr>
        <w:t xml:space="preserve"> Table 1</w:t>
      </w:r>
      <w:r w:rsidR="000F3714">
        <w:rPr>
          <w:rFonts w:ascii="Times New Roman" w:hAnsi="Times New Roman" w:cs="Times New Roman"/>
          <w:sz w:val="24"/>
          <w:szCs w:val="24"/>
        </w:rPr>
        <w:t>.</w:t>
      </w:r>
    </w:p>
    <w:p w:rsidR="007115D3" w:rsidRDefault="005F4FD9" w:rsidP="008A7E9F">
      <w:pPr>
        <w:ind w:firstLine="720"/>
        <w:rPr>
          <w:rFonts w:ascii="Times New Roman" w:hAnsi="Times New Roman" w:cs="Times New Roman"/>
          <w:sz w:val="24"/>
          <w:szCs w:val="24"/>
        </w:rPr>
      </w:pPr>
      <w:r w:rsidRPr="007D0D70">
        <w:rPr>
          <w:rFonts w:ascii="Times New Roman" w:hAnsi="Times New Roman" w:cs="Times New Roman"/>
          <w:sz w:val="24"/>
          <w:szCs w:val="24"/>
        </w:rPr>
        <w:t>Montgomery</w:t>
      </w:r>
      <w:r w:rsidR="00D97B32">
        <w:rPr>
          <w:rFonts w:ascii="Times New Roman" w:hAnsi="Times New Roman" w:cs="Times New Roman"/>
          <w:sz w:val="24"/>
          <w:szCs w:val="24"/>
        </w:rPr>
        <w:t>’s</w:t>
      </w:r>
      <w:r w:rsidRPr="007D0D70">
        <w:rPr>
          <w:rFonts w:ascii="Times New Roman" w:hAnsi="Times New Roman" w:cs="Times New Roman"/>
          <w:sz w:val="24"/>
          <w:szCs w:val="24"/>
        </w:rPr>
        <w:t xml:space="preserve"> </w:t>
      </w:r>
      <w:proofErr w:type="spellStart"/>
      <w:r w:rsidR="00CC11AC">
        <w:rPr>
          <w:rFonts w:ascii="Times New Roman" w:hAnsi="Times New Roman" w:cs="Times New Roman"/>
          <w:sz w:val="24"/>
          <w:szCs w:val="24"/>
        </w:rPr>
        <w:t>BlackRock</w:t>
      </w:r>
      <w:proofErr w:type="spellEnd"/>
      <w:r w:rsidRPr="007D0D70">
        <w:rPr>
          <w:rFonts w:ascii="Times New Roman" w:hAnsi="Times New Roman" w:cs="Times New Roman"/>
          <w:sz w:val="24"/>
          <w:szCs w:val="24"/>
        </w:rPr>
        <w:t xml:space="preserve"> fund last year participated in $83 billion in Morgan Stanley and $43 billion in</w:t>
      </w:r>
      <w:r w:rsidR="00D97B32">
        <w:rPr>
          <w:rFonts w:ascii="Times New Roman" w:hAnsi="Times New Roman" w:cs="Times New Roman"/>
          <w:sz w:val="24"/>
          <w:szCs w:val="24"/>
        </w:rPr>
        <w:t xml:space="preserve"> Goldman Sachs currency trades alon</w:t>
      </w:r>
      <w:r w:rsidR="000F3714">
        <w:rPr>
          <w:rFonts w:ascii="Times New Roman" w:hAnsi="Times New Roman" w:cs="Times New Roman"/>
          <w:sz w:val="24"/>
          <w:szCs w:val="24"/>
        </w:rPr>
        <w:t>e</w:t>
      </w:r>
      <w:r w:rsidR="00D97B32">
        <w:rPr>
          <w:rFonts w:ascii="Times New Roman" w:hAnsi="Times New Roman" w:cs="Times New Roman"/>
          <w:sz w:val="24"/>
          <w:szCs w:val="24"/>
        </w:rPr>
        <w:t xml:space="preserve">. </w:t>
      </w:r>
      <w:r w:rsidRPr="007D0D70">
        <w:rPr>
          <w:rFonts w:ascii="Times New Roman" w:hAnsi="Times New Roman" w:cs="Times New Roman"/>
          <w:sz w:val="24"/>
          <w:szCs w:val="24"/>
        </w:rPr>
        <w:t xml:space="preserve">Both companies are notoriously known to be colluding with </w:t>
      </w:r>
      <w:proofErr w:type="spellStart"/>
      <w:r w:rsidRPr="007D0D70">
        <w:rPr>
          <w:rFonts w:ascii="Times New Roman" w:hAnsi="Times New Roman" w:cs="Times New Roman"/>
          <w:sz w:val="24"/>
          <w:szCs w:val="24"/>
        </w:rPr>
        <w:t>McBee</w:t>
      </w:r>
      <w:proofErr w:type="spellEnd"/>
      <w:r w:rsidRPr="007D0D70">
        <w:rPr>
          <w:rFonts w:ascii="Times New Roman" w:hAnsi="Times New Roman" w:cs="Times New Roman"/>
          <w:sz w:val="24"/>
          <w:szCs w:val="24"/>
        </w:rPr>
        <w:t xml:space="preserve"> Strategic.</w:t>
      </w:r>
    </w:p>
    <w:p w:rsidR="008A7E9F" w:rsidRDefault="008A7E9F" w:rsidP="008A7E9F">
      <w:pPr>
        <w:ind w:firstLine="72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2A99DE4F" wp14:editId="6BF2588F">
                <wp:simplePos x="0" y="0"/>
                <wp:positionH relativeFrom="column">
                  <wp:posOffset>-57150</wp:posOffset>
                </wp:positionH>
                <wp:positionV relativeFrom="paragraph">
                  <wp:posOffset>8890</wp:posOffset>
                </wp:positionV>
                <wp:extent cx="2638425" cy="847725"/>
                <wp:effectExtent l="0" t="0" r="28575" b="28575"/>
                <wp:wrapSquare wrapText="bothSides"/>
                <wp:docPr id="4" name="Rectangle 4"/>
                <wp:cNvGraphicFramePr/>
                <a:graphic xmlns:a="http://schemas.openxmlformats.org/drawingml/2006/main">
                  <a:graphicData uri="http://schemas.microsoft.com/office/word/2010/wordprocessingShape">
                    <wps:wsp>
                      <wps:cNvSpPr/>
                      <wps:spPr>
                        <a:xfrm>
                          <a:off x="0" y="0"/>
                          <a:ext cx="2638425" cy="847725"/>
                        </a:xfrm>
                        <a:prstGeom prst="rect">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A7E9F" w:rsidRPr="008A7E9F" w:rsidRDefault="008A7E9F" w:rsidP="008A7E9F">
                            <w:pPr>
                              <w:spacing w:after="0" w:line="240" w:lineRule="auto"/>
                              <w:jc w:val="center"/>
                              <w:rPr>
                                <w:b/>
                                <w:sz w:val="32"/>
                              </w:rPr>
                            </w:pPr>
                            <w:r w:rsidRPr="008A7E9F">
                              <w:rPr>
                                <w:b/>
                                <w:sz w:val="32"/>
                              </w:rPr>
                              <w:t xml:space="preserve">Conflict: </w:t>
                            </w:r>
                            <w:r w:rsidRPr="008A7E9F">
                              <w:rPr>
                                <w:b/>
                                <w:sz w:val="32"/>
                              </w:rPr>
                              <w:t>Eastman Chemical</w:t>
                            </w:r>
                          </w:p>
                          <w:p w:rsidR="008A7E9F" w:rsidRDefault="008A7E9F" w:rsidP="008A7E9F">
                            <w:pPr>
                              <w:spacing w:after="0" w:line="240" w:lineRule="auto"/>
                              <w:jc w:val="center"/>
                            </w:pPr>
                            <w:r>
                              <w:t xml:space="preserve">Conflict with </w:t>
                            </w:r>
                            <w:r>
                              <w:t xml:space="preserve">Jeffrey Wadsworth and his </w:t>
                            </w:r>
                            <w:proofErr w:type="spellStart"/>
                            <w:r>
                              <w:t>McBee</w:t>
                            </w:r>
                            <w:proofErr w:type="spellEnd"/>
                            <w:r>
                              <w:t xml:space="preserve"> Strategic lobbyist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8" style="position:absolute;left:0;text-align:left;margin-left:-4.5pt;margin-top:.7pt;width:207.75pt;height:6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" fillcolor="red" strokecolor="black [3213]" strokeweight="2pt">
                <v:textbox>
                  <w:txbxContent>
                    <w:p w:rsidR="008A7E9F" w:rsidRPr="008A7E9F" w:rsidRDefault="008A7E9F" w:rsidP="008A7E9F">
                      <w:pPr>
                        <w:spacing w:after="0" w:line="240" w:lineRule="auto"/>
                        <w:jc w:val="center"/>
                        <w:rPr>
                          <w:b/>
                          <w:sz w:val="32"/>
                        </w:rPr>
                      </w:pPr>
                      <w:r w:rsidRPr="008A7E9F">
                        <w:rPr>
                          <w:b/>
                          <w:sz w:val="32"/>
                        </w:rPr>
                        <w:t xml:space="preserve">Conflict: </w:t>
                      </w:r>
                      <w:r w:rsidRPr="008A7E9F">
                        <w:rPr>
                          <w:b/>
                          <w:sz w:val="32"/>
                        </w:rPr>
                        <w:t>Eastman Chemical</w:t>
                      </w:r>
                    </w:p>
                    <w:p w:rsidR="008A7E9F" w:rsidRDefault="008A7E9F" w:rsidP="008A7E9F">
                      <w:pPr>
                        <w:spacing w:after="0" w:line="240" w:lineRule="auto"/>
                        <w:jc w:val="center"/>
                      </w:pPr>
                      <w:r>
                        <w:t xml:space="preserve">Conflict with </w:t>
                      </w:r>
                      <w:r>
                        <w:t xml:space="preserve">Jeffrey Wadsworth and his </w:t>
                      </w:r>
                      <w:proofErr w:type="spellStart"/>
                      <w:r>
                        <w:t>McBee</w:t>
                      </w:r>
                      <w:proofErr w:type="spellEnd"/>
                      <w:r>
                        <w:t xml:space="preserve"> Strategic lobbyist</w:t>
                      </w:r>
                    </w:p>
                  </w:txbxContent>
                </v:textbox>
                <w10:wrap type="square"/>
              </v:rect>
            </w:pict>
          </mc:Fallback>
        </mc:AlternateContent>
      </w:r>
      <w:r w:rsidRPr="008A7E9F">
        <w:rPr>
          <w:rFonts w:ascii="Times New Roman" w:hAnsi="Times New Roman" w:cs="Times New Roman"/>
          <w:sz w:val="24"/>
          <w:szCs w:val="24"/>
        </w:rPr>
        <w:t xml:space="preserve">Conflict with Jeffrey Wadsworth and his </w:t>
      </w:r>
      <w:proofErr w:type="spellStart"/>
      <w:r w:rsidRPr="008A7E9F">
        <w:rPr>
          <w:rFonts w:ascii="Times New Roman" w:hAnsi="Times New Roman" w:cs="Times New Roman"/>
          <w:sz w:val="24"/>
          <w:szCs w:val="24"/>
        </w:rPr>
        <w:t>McBee</w:t>
      </w:r>
      <w:proofErr w:type="spellEnd"/>
      <w:r w:rsidRPr="008A7E9F">
        <w:rPr>
          <w:rFonts w:ascii="Times New Roman" w:hAnsi="Times New Roman" w:cs="Times New Roman"/>
          <w:sz w:val="24"/>
          <w:szCs w:val="24"/>
        </w:rPr>
        <w:t xml:space="preserve"> Strategic lobbyist</w:t>
      </w:r>
      <w:r>
        <w:rPr>
          <w:rFonts w:ascii="Times New Roman" w:hAnsi="Times New Roman" w:cs="Times New Roman"/>
          <w:sz w:val="24"/>
          <w:szCs w:val="24"/>
        </w:rPr>
        <w:t>,</w:t>
      </w:r>
      <w:r w:rsidRPr="008A7E9F">
        <w:rPr>
          <w:rFonts w:ascii="Times New Roman" w:hAnsi="Times New Roman" w:cs="Times New Roman"/>
          <w:sz w:val="24"/>
          <w:szCs w:val="24"/>
        </w:rPr>
        <w:t xml:space="preserve"> whos</w:t>
      </w:r>
      <w:r>
        <w:rPr>
          <w:rFonts w:ascii="Times New Roman" w:hAnsi="Times New Roman" w:cs="Times New Roman"/>
          <w:sz w:val="24"/>
          <w:szCs w:val="24"/>
        </w:rPr>
        <w:t xml:space="preserve">e client is Eastman Chemical Co. </w:t>
      </w:r>
      <w:proofErr w:type="spellStart"/>
      <w:r w:rsidRPr="008A7E9F">
        <w:rPr>
          <w:rFonts w:ascii="Times New Roman" w:hAnsi="Times New Roman" w:cs="Times New Roman"/>
          <w:sz w:val="24"/>
          <w:szCs w:val="24"/>
        </w:rPr>
        <w:t>BlackRock</w:t>
      </w:r>
      <w:proofErr w:type="spellEnd"/>
      <w:r w:rsidRPr="008A7E9F">
        <w:rPr>
          <w:rFonts w:ascii="Times New Roman" w:hAnsi="Times New Roman" w:cs="Times New Roman"/>
          <w:sz w:val="24"/>
          <w:szCs w:val="24"/>
        </w:rPr>
        <w:t xml:space="preserve"> MCLOX fund’s Chairman is Robert M. Hernandez, a director of Eastman Chemical Co.</w:t>
      </w:r>
    </w:p>
    <w:p w:rsidR="007D0D70" w:rsidRPr="009A3156" w:rsidRDefault="007D0D70">
      <w:pPr>
        <w:rPr>
          <w:b/>
          <w:color w:val="17365D" w:themeColor="text2" w:themeShade="BF"/>
          <w:sz w:val="28"/>
        </w:rPr>
      </w:pPr>
      <w:r w:rsidRPr="009A3156">
        <w:rPr>
          <w:b/>
          <w:color w:val="17365D" w:themeColor="text2" w:themeShade="BF"/>
          <w:sz w:val="28"/>
        </w:rPr>
        <w:t xml:space="preserve">2.5 billion </w:t>
      </w:r>
      <w:proofErr w:type="gramStart"/>
      <w:r w:rsidRPr="009A3156">
        <w:rPr>
          <w:b/>
          <w:color w:val="17365D" w:themeColor="text2" w:themeShade="BF"/>
          <w:sz w:val="28"/>
        </w:rPr>
        <w:t>reasons</w:t>
      </w:r>
      <w:proofErr w:type="gramEnd"/>
      <w:r w:rsidRPr="009A3156">
        <w:rPr>
          <w:b/>
          <w:color w:val="17365D" w:themeColor="text2" w:themeShade="BF"/>
          <w:sz w:val="28"/>
        </w:rPr>
        <w:t xml:space="preserve"> why Betty Montgomery is biased</w:t>
      </w:r>
    </w:p>
    <w:p w:rsidR="007D0D70" w:rsidRDefault="007D0D70" w:rsidP="008A7E9F">
      <w:pPr>
        <w:ind w:firstLine="720"/>
        <w:rPr>
          <w:rFonts w:ascii="Times New Roman" w:hAnsi="Times New Roman" w:cs="Times New Roman"/>
          <w:sz w:val="24"/>
          <w:szCs w:val="24"/>
        </w:rPr>
      </w:pPr>
      <w:r w:rsidRPr="007D0D70">
        <w:rPr>
          <w:rFonts w:ascii="Times New Roman" w:hAnsi="Times New Roman" w:cs="Times New Roman"/>
          <w:sz w:val="24"/>
          <w:szCs w:val="24"/>
        </w:rPr>
        <w:t xml:space="preserve">Montgomery’s </w:t>
      </w:r>
      <w:proofErr w:type="spellStart"/>
      <w:r w:rsidR="00CC11AC">
        <w:rPr>
          <w:rFonts w:ascii="Times New Roman" w:hAnsi="Times New Roman" w:cs="Times New Roman"/>
          <w:sz w:val="24"/>
          <w:szCs w:val="24"/>
        </w:rPr>
        <w:t>BlackRock</w:t>
      </w:r>
      <w:proofErr w:type="spellEnd"/>
      <w:r w:rsidRPr="007D0D70">
        <w:rPr>
          <w:rFonts w:ascii="Times New Roman" w:hAnsi="Times New Roman" w:cs="Times New Roman"/>
          <w:sz w:val="24"/>
          <w:szCs w:val="24"/>
        </w:rPr>
        <w:t xml:space="preserve"> fund holds $2.5 billion in shares in the </w:t>
      </w:r>
      <w:proofErr w:type="spellStart"/>
      <w:r w:rsidRPr="007D0D70">
        <w:rPr>
          <w:rFonts w:ascii="Times New Roman" w:hAnsi="Times New Roman" w:cs="Times New Roman"/>
          <w:sz w:val="24"/>
          <w:szCs w:val="24"/>
        </w:rPr>
        <w:t>McBee</w:t>
      </w:r>
      <w:proofErr w:type="spellEnd"/>
      <w:r w:rsidRPr="007D0D70">
        <w:rPr>
          <w:rFonts w:ascii="Times New Roman" w:hAnsi="Times New Roman" w:cs="Times New Roman"/>
          <w:sz w:val="24"/>
          <w:szCs w:val="24"/>
        </w:rPr>
        <w:t>/Ohio State clients listed above.</w:t>
      </w:r>
      <w:r w:rsidR="00CE6322">
        <w:rPr>
          <w:rFonts w:ascii="Times New Roman" w:hAnsi="Times New Roman" w:cs="Times New Roman"/>
          <w:sz w:val="24"/>
          <w:szCs w:val="24"/>
        </w:rPr>
        <w:t xml:space="preserve"> </w:t>
      </w:r>
      <w:r w:rsidRPr="007D0D70">
        <w:rPr>
          <w:rFonts w:ascii="Times New Roman" w:hAnsi="Times New Roman" w:cs="Times New Roman"/>
          <w:sz w:val="24"/>
          <w:szCs w:val="24"/>
        </w:rPr>
        <w:t>These are 2.5 billion reasons why she failed to disclose her conflicts o</w:t>
      </w:r>
      <w:r w:rsidR="00CE6322">
        <w:rPr>
          <w:rFonts w:ascii="Times New Roman" w:hAnsi="Times New Roman" w:cs="Times New Roman"/>
          <w:sz w:val="24"/>
          <w:szCs w:val="24"/>
        </w:rPr>
        <w:t xml:space="preserve">f interest in the OSU Marching </w:t>
      </w:r>
      <w:r w:rsidRPr="007D0D70">
        <w:rPr>
          <w:rFonts w:ascii="Times New Roman" w:hAnsi="Times New Roman" w:cs="Times New Roman"/>
          <w:sz w:val="24"/>
          <w:szCs w:val="24"/>
        </w:rPr>
        <w:t>Band Affair.</w:t>
      </w:r>
      <w:r w:rsidR="00CE6322">
        <w:rPr>
          <w:rFonts w:ascii="Times New Roman" w:hAnsi="Times New Roman" w:cs="Times New Roman"/>
          <w:sz w:val="24"/>
          <w:szCs w:val="24"/>
        </w:rPr>
        <w:t xml:space="preserve"> Montgomery is painfully partial to Wadsworth, Drake and Battelle. Her failure to disclose these materially significant holdings </w:t>
      </w:r>
      <w:r w:rsidR="00CC11AC">
        <w:rPr>
          <w:rFonts w:ascii="Times New Roman" w:hAnsi="Times New Roman" w:cs="Times New Roman"/>
          <w:sz w:val="24"/>
          <w:szCs w:val="24"/>
        </w:rPr>
        <w:t xml:space="preserve">may be a criminal in her failure to tell the public that she could not be impartial. </w:t>
      </w:r>
    </w:p>
    <w:p w:rsidR="00CC11AC" w:rsidRPr="007D0D70" w:rsidRDefault="008A7E9F" w:rsidP="008A7E9F">
      <w:pPr>
        <w:ind w:firstLine="72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182880" distB="182880" distL="114300" distR="114300" simplePos="0" relativeHeight="251666432" behindDoc="0" locked="0" layoutInCell="1" allowOverlap="1" wp14:anchorId="30892F45" wp14:editId="19E7336D">
                <wp:simplePos x="0" y="0"/>
                <wp:positionH relativeFrom="column">
                  <wp:posOffset>-9525</wp:posOffset>
                </wp:positionH>
                <wp:positionV relativeFrom="paragraph">
                  <wp:posOffset>774065</wp:posOffset>
                </wp:positionV>
                <wp:extent cx="5952490" cy="721995"/>
                <wp:effectExtent l="0" t="0" r="10160" b="20955"/>
                <wp:wrapSquare wrapText="bothSides"/>
                <wp:docPr id="6" name="Rectangle 6"/>
                <wp:cNvGraphicFramePr/>
                <a:graphic xmlns:a="http://schemas.openxmlformats.org/drawingml/2006/main">
                  <a:graphicData uri="http://schemas.microsoft.com/office/word/2010/wordprocessingShape">
                    <wps:wsp>
                      <wps:cNvSpPr/>
                      <wps:spPr>
                        <a:xfrm>
                          <a:off x="0" y="0"/>
                          <a:ext cx="5952490" cy="721995"/>
                        </a:xfrm>
                        <a:prstGeom prst="rect">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A7E9F" w:rsidRPr="008A7E9F" w:rsidRDefault="008A7E9F" w:rsidP="008A7E9F">
                            <w:pPr>
                              <w:spacing w:after="0" w:line="240" w:lineRule="auto"/>
                              <w:jc w:val="center"/>
                              <w:rPr>
                                <w:b/>
                                <w:sz w:val="32"/>
                              </w:rPr>
                            </w:pPr>
                            <w:r w:rsidRPr="008A7E9F">
                              <w:rPr>
                                <w:b/>
                                <w:sz w:val="32"/>
                              </w:rPr>
                              <w:t xml:space="preserve">Conflict: </w:t>
                            </w:r>
                            <w:r>
                              <w:rPr>
                                <w:b/>
                                <w:sz w:val="32"/>
                              </w:rPr>
                              <w:t>Betty Montgomery’s Holdings</w:t>
                            </w:r>
                          </w:p>
                          <w:p w:rsidR="008A7E9F" w:rsidRDefault="008A7E9F" w:rsidP="008A7E9F">
                            <w:pPr>
                              <w:spacing w:after="0" w:line="240" w:lineRule="auto"/>
                              <w:jc w:val="center"/>
                            </w:pPr>
                            <w:r>
                              <w:t xml:space="preserve">Montgomery holds stock in 14 of 16 Jeffrey Wadsworth / </w:t>
                            </w:r>
                            <w:proofErr w:type="spellStart"/>
                            <w:r>
                              <w:t>McBee</w:t>
                            </w:r>
                            <w:proofErr w:type="spellEnd"/>
                            <w:r>
                              <w:t xml:space="preserve"> Strategic / Ohio State’s clients </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9" style="position:absolute;left:0;text-align:left;margin-left:-.75pt;margin-top:60.95pt;width:468.7pt;height:56.85pt;z-index:251666432;visibility:visible;mso-wrap-style:square;mso-width-percent:0;mso-height-percent:0;mso-wrap-distance-left:9pt;mso-wrap-distance-top:14.4pt;mso-wrap-distance-right:9pt;mso-wrap-distance-bottom:14.4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" fillcolor="red" strokecolor="black [3213]" strokeweight="2pt">
                <v:textbox inset=",7.2pt,,7.2pt">
                  <w:txbxContent>
                    <w:p w:rsidR="008A7E9F" w:rsidRPr="008A7E9F" w:rsidRDefault="008A7E9F" w:rsidP="008A7E9F">
                      <w:pPr>
                        <w:spacing w:after="0" w:line="240" w:lineRule="auto"/>
                        <w:jc w:val="center"/>
                        <w:rPr>
                          <w:b/>
                          <w:sz w:val="32"/>
                        </w:rPr>
                      </w:pPr>
                      <w:r w:rsidRPr="008A7E9F">
                        <w:rPr>
                          <w:b/>
                          <w:sz w:val="32"/>
                        </w:rPr>
                        <w:t xml:space="preserve">Conflict: </w:t>
                      </w:r>
                      <w:r>
                        <w:rPr>
                          <w:b/>
                          <w:sz w:val="32"/>
                        </w:rPr>
                        <w:t>Betty Montgomery’s Holdings</w:t>
                      </w:r>
                    </w:p>
                    <w:p w:rsidR="008A7E9F" w:rsidRDefault="008A7E9F" w:rsidP="008A7E9F">
                      <w:pPr>
                        <w:spacing w:after="0" w:line="240" w:lineRule="auto"/>
                        <w:jc w:val="center"/>
                      </w:pPr>
                      <w:r>
                        <w:t xml:space="preserve">Montgomery holds stock in 14 of 16 Jeffrey Wadsworth / </w:t>
                      </w:r>
                      <w:proofErr w:type="spellStart"/>
                      <w:r>
                        <w:t>McBee</w:t>
                      </w:r>
                      <w:proofErr w:type="spellEnd"/>
                      <w:r>
                        <w:t xml:space="preserve"> Strategic / Ohio State’s clients </w:t>
                      </w:r>
                    </w:p>
                  </w:txbxContent>
                </v:textbox>
                <w10:wrap type="square"/>
              </v:rect>
            </w:pict>
          </mc:Fallback>
        </mc:AlternateContent>
      </w:r>
      <w:r w:rsidR="00CC11AC">
        <w:rPr>
          <w:rFonts w:ascii="Times New Roman" w:hAnsi="Times New Roman" w:cs="Times New Roman"/>
          <w:sz w:val="24"/>
          <w:szCs w:val="24"/>
        </w:rPr>
        <w:t>Michael Drake likely shielded Montgomery from liability should these egregious conflicts come to light, as they now have. Fraudulent nondisclosure has no shield from liability.</w:t>
      </w:r>
    </w:p>
    <w:p w:rsidR="007D0D70" w:rsidRPr="007D0D70" w:rsidRDefault="000F3714" w:rsidP="008A7E9F">
      <w:pPr>
        <w:ind w:firstLine="720"/>
        <w:rPr>
          <w:rFonts w:ascii="Times New Roman" w:hAnsi="Times New Roman" w:cs="Times New Roman"/>
          <w:sz w:val="24"/>
          <w:szCs w:val="24"/>
        </w:rPr>
      </w:pPr>
      <w:r>
        <w:rPr>
          <w:rFonts w:ascii="Times New Roman" w:hAnsi="Times New Roman" w:cs="Times New Roman"/>
          <w:sz w:val="24"/>
          <w:szCs w:val="24"/>
        </w:rPr>
        <w:t xml:space="preserve">Montgomery’s excuse could be to try and </w:t>
      </w:r>
      <w:r w:rsidR="007D0D70" w:rsidRPr="007D0D70">
        <w:rPr>
          <w:rFonts w:ascii="Times New Roman" w:hAnsi="Times New Roman" w:cs="Times New Roman"/>
          <w:sz w:val="24"/>
          <w:szCs w:val="24"/>
        </w:rPr>
        <w:t xml:space="preserve">claim that Ohio ethics law exempts her from disclosure of her </w:t>
      </w:r>
      <w:proofErr w:type="spellStart"/>
      <w:r>
        <w:rPr>
          <w:rFonts w:ascii="Times New Roman" w:hAnsi="Times New Roman" w:cs="Times New Roman"/>
          <w:sz w:val="24"/>
          <w:szCs w:val="24"/>
        </w:rPr>
        <w:t>BlackRock</w:t>
      </w:r>
      <w:proofErr w:type="spellEnd"/>
      <w:r>
        <w:rPr>
          <w:rFonts w:ascii="Times New Roman" w:hAnsi="Times New Roman" w:cs="Times New Roman"/>
          <w:sz w:val="24"/>
          <w:szCs w:val="24"/>
        </w:rPr>
        <w:t xml:space="preserve"> </w:t>
      </w:r>
      <w:r w:rsidR="007D0D70" w:rsidRPr="007D0D70">
        <w:rPr>
          <w:rFonts w:ascii="Times New Roman" w:hAnsi="Times New Roman" w:cs="Times New Roman"/>
          <w:sz w:val="24"/>
          <w:szCs w:val="24"/>
        </w:rPr>
        <w:t>holdings</w:t>
      </w:r>
      <w:r>
        <w:rPr>
          <w:rFonts w:ascii="Times New Roman" w:hAnsi="Times New Roman" w:cs="Times New Roman"/>
          <w:sz w:val="24"/>
          <w:szCs w:val="24"/>
        </w:rPr>
        <w:t xml:space="preserve">; claiming that </w:t>
      </w:r>
      <w:r w:rsidR="007D0D70" w:rsidRPr="007D0D70">
        <w:rPr>
          <w:rFonts w:ascii="Times New Roman" w:hAnsi="Times New Roman" w:cs="Times New Roman"/>
          <w:sz w:val="24"/>
          <w:szCs w:val="24"/>
        </w:rPr>
        <w:t>she does not direct the fund, and therefore</w:t>
      </w:r>
      <w:r>
        <w:rPr>
          <w:rFonts w:ascii="Times New Roman" w:hAnsi="Times New Roman" w:cs="Times New Roman"/>
          <w:sz w:val="24"/>
          <w:szCs w:val="24"/>
        </w:rPr>
        <w:t>,</w:t>
      </w:r>
      <w:r w:rsidR="007D0D70" w:rsidRPr="007D0D70">
        <w:rPr>
          <w:rFonts w:ascii="Times New Roman" w:hAnsi="Times New Roman" w:cs="Times New Roman"/>
          <w:sz w:val="24"/>
          <w:szCs w:val="24"/>
        </w:rPr>
        <w:t xml:space="preserve"> </w:t>
      </w:r>
      <w:r w:rsidR="007D0D70" w:rsidRPr="007D0D70">
        <w:rPr>
          <w:rFonts w:ascii="Times New Roman" w:hAnsi="Times New Roman" w:cs="Times New Roman"/>
          <w:sz w:val="24"/>
          <w:szCs w:val="24"/>
        </w:rPr>
        <w:lastRenderedPageBreak/>
        <w:t>does not have to disclose the stocks—</w:t>
      </w:r>
      <w:r w:rsidR="007D0D70" w:rsidRPr="000F3714">
        <w:rPr>
          <w:rFonts w:ascii="Times New Roman" w:hAnsi="Times New Roman" w:cs="Times New Roman"/>
          <w:b/>
          <w:sz w:val="24"/>
          <w:szCs w:val="24"/>
        </w:rPr>
        <w:t xml:space="preserve">even when she holds 14 of the 16 </w:t>
      </w:r>
      <w:proofErr w:type="spellStart"/>
      <w:r w:rsidR="007D0D70" w:rsidRPr="000F3714">
        <w:rPr>
          <w:rFonts w:ascii="Times New Roman" w:hAnsi="Times New Roman" w:cs="Times New Roman"/>
          <w:b/>
          <w:sz w:val="24"/>
          <w:szCs w:val="24"/>
        </w:rPr>
        <w:t>McBee</w:t>
      </w:r>
      <w:proofErr w:type="spellEnd"/>
      <w:r w:rsidR="007D0D70" w:rsidRPr="000F3714">
        <w:rPr>
          <w:rFonts w:ascii="Times New Roman" w:hAnsi="Times New Roman" w:cs="Times New Roman"/>
          <w:b/>
          <w:sz w:val="24"/>
          <w:szCs w:val="24"/>
        </w:rPr>
        <w:t xml:space="preserve"> Strategic stocks.</w:t>
      </w:r>
    </w:p>
    <w:p w:rsidR="007D0D70" w:rsidRPr="007D0D70" w:rsidRDefault="007D0D70" w:rsidP="008A7E9F">
      <w:pPr>
        <w:ind w:firstLine="720"/>
        <w:rPr>
          <w:rFonts w:ascii="Times New Roman" w:hAnsi="Times New Roman" w:cs="Times New Roman"/>
          <w:sz w:val="24"/>
          <w:szCs w:val="24"/>
        </w:rPr>
      </w:pPr>
      <w:r w:rsidRPr="007D0D70">
        <w:rPr>
          <w:rFonts w:ascii="Times New Roman" w:hAnsi="Times New Roman" w:cs="Times New Roman"/>
          <w:sz w:val="24"/>
          <w:szCs w:val="24"/>
        </w:rPr>
        <w:t>We have just illustrated 2.5 billion reasons why such explanations are a gross abuse of the principles of fairness, not to mention common sense.</w:t>
      </w:r>
      <w:r w:rsidR="00CE6322">
        <w:rPr>
          <w:rFonts w:ascii="Times New Roman" w:hAnsi="Times New Roman" w:cs="Times New Roman"/>
          <w:sz w:val="24"/>
          <w:szCs w:val="24"/>
        </w:rPr>
        <w:t xml:space="preserve"> Clearly, one cannot hold stock in 14 of your boss’s 16 crony firms and pretend not to be biased.</w:t>
      </w:r>
    </w:p>
    <w:p w:rsidR="007D0D70" w:rsidRPr="009A3156" w:rsidRDefault="00BC3563" w:rsidP="008A7E9F">
      <w:pPr>
        <w:keepNext/>
        <w:keepLines/>
        <w:rPr>
          <w:b/>
          <w:color w:val="17365D" w:themeColor="text2" w:themeShade="BF"/>
          <w:sz w:val="28"/>
        </w:rPr>
      </w:pPr>
      <w:r w:rsidRPr="009A3156">
        <w:rPr>
          <w:b/>
          <w:color w:val="17365D" w:themeColor="text2" w:themeShade="BF"/>
          <w:sz w:val="28"/>
        </w:rPr>
        <w:t>This is</w:t>
      </w:r>
      <w:r w:rsidR="009A3156">
        <w:rPr>
          <w:b/>
          <w:color w:val="17365D" w:themeColor="text2" w:themeShade="BF"/>
          <w:sz w:val="28"/>
        </w:rPr>
        <w:t xml:space="preserve"> likely</w:t>
      </w:r>
      <w:r w:rsidRPr="009A3156">
        <w:rPr>
          <w:b/>
          <w:color w:val="17365D" w:themeColor="text2" w:themeShade="BF"/>
          <w:sz w:val="28"/>
        </w:rPr>
        <w:t xml:space="preserve"> why Washington, D.C. is broken</w:t>
      </w:r>
      <w:r w:rsidR="009A3156">
        <w:rPr>
          <w:b/>
          <w:color w:val="17365D" w:themeColor="text2" w:themeShade="BF"/>
          <w:sz w:val="28"/>
        </w:rPr>
        <w:t>; hidden agendas galore</w:t>
      </w:r>
    </w:p>
    <w:p w:rsidR="007D0D70" w:rsidRDefault="007D0D70" w:rsidP="008A7E9F">
      <w:pPr>
        <w:keepNext/>
        <w:keepLines/>
        <w:ind w:firstLine="630"/>
        <w:rPr>
          <w:rFonts w:ascii="Times New Roman" w:hAnsi="Times New Roman" w:cs="Times New Roman"/>
          <w:sz w:val="24"/>
          <w:szCs w:val="24"/>
        </w:rPr>
      </w:pPr>
      <w:r w:rsidRPr="007D0D70">
        <w:rPr>
          <w:rFonts w:ascii="Times New Roman" w:hAnsi="Times New Roman" w:cs="Times New Roman"/>
          <w:sz w:val="24"/>
          <w:szCs w:val="24"/>
        </w:rPr>
        <w:t>This abuse of the ethics laws explains why there is so much double-dealing in politic</w:t>
      </w:r>
      <w:r w:rsidR="00BC3563">
        <w:rPr>
          <w:rFonts w:ascii="Times New Roman" w:hAnsi="Times New Roman" w:cs="Times New Roman"/>
          <w:sz w:val="24"/>
          <w:szCs w:val="24"/>
        </w:rPr>
        <w:t>s and justice</w:t>
      </w:r>
      <w:r>
        <w:rPr>
          <w:rFonts w:ascii="Times New Roman" w:hAnsi="Times New Roman" w:cs="Times New Roman"/>
          <w:sz w:val="24"/>
          <w:szCs w:val="24"/>
        </w:rPr>
        <w:t xml:space="preserve">. </w:t>
      </w:r>
      <w:r w:rsidRPr="00BC3563">
        <w:rPr>
          <w:rFonts w:ascii="Times New Roman" w:hAnsi="Times New Roman" w:cs="Times New Roman"/>
          <w:b/>
          <w:sz w:val="24"/>
          <w:szCs w:val="24"/>
        </w:rPr>
        <w:t>Our officials are on the make, on a massive, unprecedented scale.</w:t>
      </w:r>
      <w:r>
        <w:rPr>
          <w:rFonts w:ascii="Times New Roman" w:hAnsi="Times New Roman" w:cs="Times New Roman"/>
          <w:sz w:val="24"/>
          <w:szCs w:val="24"/>
        </w:rPr>
        <w:t xml:space="preserve"> For this reason, nothing they do makes sense to us, but it absolutely does to the insiders. </w:t>
      </w:r>
      <w:r w:rsidR="00BC3563">
        <w:rPr>
          <w:rFonts w:ascii="Times New Roman" w:hAnsi="Times New Roman" w:cs="Times New Roman"/>
          <w:sz w:val="24"/>
          <w:szCs w:val="24"/>
        </w:rPr>
        <w:t>This financial double-dealing is why Washington, D.C. is broken.</w:t>
      </w:r>
    </w:p>
    <w:p w:rsidR="007D0D70" w:rsidRPr="009A3156" w:rsidRDefault="007D0D70" w:rsidP="008A7E9F">
      <w:pPr>
        <w:keepNext/>
        <w:keepLines/>
        <w:rPr>
          <w:b/>
          <w:color w:val="17365D" w:themeColor="text2" w:themeShade="BF"/>
          <w:sz w:val="28"/>
        </w:rPr>
      </w:pPr>
      <w:r w:rsidRPr="009A3156">
        <w:rPr>
          <w:b/>
          <w:color w:val="17365D" w:themeColor="text2" w:themeShade="BF"/>
          <w:sz w:val="28"/>
        </w:rPr>
        <w:t>The Fix</w:t>
      </w:r>
    </w:p>
    <w:p w:rsidR="007D0D70" w:rsidRPr="007D0D70" w:rsidRDefault="00BC3563" w:rsidP="008A7E9F">
      <w:pPr>
        <w:keepNext/>
        <w:keepLines/>
        <w:ind w:firstLine="720"/>
        <w:rPr>
          <w:rFonts w:ascii="Times New Roman" w:hAnsi="Times New Roman" w:cs="Times New Roman"/>
          <w:sz w:val="24"/>
          <w:szCs w:val="24"/>
        </w:rPr>
      </w:pPr>
      <w:r>
        <w:rPr>
          <w:rFonts w:ascii="Times New Roman" w:hAnsi="Times New Roman" w:cs="Times New Roman"/>
          <w:sz w:val="24"/>
          <w:szCs w:val="24"/>
        </w:rPr>
        <w:t xml:space="preserve">The fix to this mess is surprisingly simple. </w:t>
      </w:r>
      <w:r w:rsidR="007D0D70" w:rsidRPr="007D0D70">
        <w:rPr>
          <w:rFonts w:ascii="Times New Roman" w:hAnsi="Times New Roman" w:cs="Times New Roman"/>
          <w:sz w:val="24"/>
          <w:szCs w:val="24"/>
        </w:rPr>
        <w:t>Require holders of mutual funds to disclose</w:t>
      </w:r>
      <w:r>
        <w:rPr>
          <w:rFonts w:ascii="Times New Roman" w:hAnsi="Times New Roman" w:cs="Times New Roman"/>
          <w:sz w:val="24"/>
          <w:szCs w:val="24"/>
        </w:rPr>
        <w:t>,</w:t>
      </w:r>
      <w:r w:rsidR="007D0D70" w:rsidRPr="007D0D70">
        <w:rPr>
          <w:rFonts w:ascii="Times New Roman" w:hAnsi="Times New Roman" w:cs="Times New Roman"/>
          <w:sz w:val="24"/>
          <w:szCs w:val="24"/>
        </w:rPr>
        <w:t xml:space="preserve"> on a bi-annual basis</w:t>
      </w:r>
      <w:r>
        <w:rPr>
          <w:rFonts w:ascii="Times New Roman" w:hAnsi="Times New Roman" w:cs="Times New Roman"/>
          <w:sz w:val="24"/>
          <w:szCs w:val="24"/>
        </w:rPr>
        <w:t>,</w:t>
      </w:r>
      <w:r w:rsidR="007D0D70" w:rsidRPr="007D0D70">
        <w:rPr>
          <w:rFonts w:ascii="Times New Roman" w:hAnsi="Times New Roman" w:cs="Times New Roman"/>
          <w:sz w:val="24"/>
          <w:szCs w:val="24"/>
        </w:rPr>
        <w:t xml:space="preserve"> the stocks held by their mutual funds. This would require little effort since the funds report their stockholdings bi-annually now.</w:t>
      </w:r>
    </w:p>
    <w:p w:rsidR="007115D3" w:rsidRDefault="007D0D70" w:rsidP="008A7E9F">
      <w:pPr>
        <w:ind w:firstLine="720"/>
        <w:rPr>
          <w:rFonts w:ascii="Times New Roman" w:hAnsi="Times New Roman" w:cs="Times New Roman"/>
          <w:sz w:val="24"/>
          <w:szCs w:val="24"/>
        </w:rPr>
      </w:pPr>
      <w:r w:rsidRPr="007D0D70">
        <w:rPr>
          <w:rFonts w:ascii="Times New Roman" w:hAnsi="Times New Roman" w:cs="Times New Roman"/>
          <w:sz w:val="24"/>
          <w:szCs w:val="24"/>
        </w:rPr>
        <w:t xml:space="preserve">Require judges to recuse themselves if they hold even one share in a litigant. Require the same of politicians and bureaucrats. This simple requirement will allow citizens to easily </w:t>
      </w:r>
      <w:r w:rsidR="00BC3563">
        <w:rPr>
          <w:rFonts w:ascii="Times New Roman" w:hAnsi="Times New Roman" w:cs="Times New Roman"/>
          <w:sz w:val="24"/>
          <w:szCs w:val="24"/>
        </w:rPr>
        <w:t xml:space="preserve">check to </w:t>
      </w:r>
      <w:r w:rsidRPr="007D0D70">
        <w:rPr>
          <w:rFonts w:ascii="Times New Roman" w:hAnsi="Times New Roman" w:cs="Times New Roman"/>
          <w:sz w:val="24"/>
          <w:szCs w:val="24"/>
        </w:rPr>
        <w:t>see if the official has interests that require his or her disqualification from a matter.</w:t>
      </w:r>
    </w:p>
    <w:p w:rsidR="000F3714" w:rsidRDefault="000F3714" w:rsidP="000F3714">
      <w:pPr>
        <w:jc w:val="center"/>
        <w:rPr>
          <w:rFonts w:ascii="Times New Roman" w:hAnsi="Times New Roman" w:cs="Times New Roman"/>
          <w:sz w:val="24"/>
          <w:szCs w:val="24"/>
        </w:rPr>
      </w:pPr>
      <w:r>
        <w:rPr>
          <w:rFonts w:ascii="Times New Roman" w:hAnsi="Times New Roman" w:cs="Times New Roman"/>
          <w:sz w:val="24"/>
          <w:szCs w:val="24"/>
        </w:rPr>
        <w:t>* * *</w:t>
      </w:r>
    </w:p>
    <w:p w:rsidR="000F3714" w:rsidRPr="000F3714" w:rsidRDefault="000F3714" w:rsidP="000F3714">
      <w:pPr>
        <w:keepNext/>
        <w:keepLines/>
        <w:rPr>
          <w:b/>
          <w:color w:val="17365D" w:themeColor="text2" w:themeShade="BF"/>
          <w:sz w:val="28"/>
        </w:rPr>
      </w:pPr>
      <w:r w:rsidRPr="000F3714">
        <w:rPr>
          <w:b/>
          <w:color w:val="17365D" w:themeColor="text2" w:themeShade="BF"/>
          <w:sz w:val="28"/>
        </w:rPr>
        <w:t>Epilogue</w:t>
      </w:r>
    </w:p>
    <w:p w:rsidR="000F3714" w:rsidRPr="0091662C" w:rsidRDefault="000F3714" w:rsidP="008A7E9F">
      <w:pPr>
        <w:ind w:firstLine="720"/>
        <w:rPr>
          <w:b/>
        </w:rPr>
      </w:pPr>
      <w:r>
        <w:rPr>
          <w:rFonts w:ascii="Times New Roman" w:hAnsi="Times New Roman" w:cs="Times New Roman"/>
          <w:sz w:val="24"/>
          <w:szCs w:val="24"/>
        </w:rPr>
        <w:t xml:space="preserve">Suddenly, Betty Montgomery’s unpaid status is </w:t>
      </w:r>
      <w:r w:rsidR="00CC11AC">
        <w:rPr>
          <w:rFonts w:ascii="Times New Roman" w:hAnsi="Times New Roman" w:cs="Times New Roman"/>
          <w:sz w:val="24"/>
          <w:szCs w:val="24"/>
        </w:rPr>
        <w:t xml:space="preserve">being </w:t>
      </w:r>
      <w:r>
        <w:rPr>
          <w:rFonts w:ascii="Times New Roman" w:hAnsi="Times New Roman" w:cs="Times New Roman"/>
          <w:sz w:val="24"/>
          <w:szCs w:val="24"/>
        </w:rPr>
        <w:t>emphasized by the university. According to Ohio ethics law, unpaid consultants are not required to file personal financial disclosures. This appears to be the reason her status h</w:t>
      </w:r>
      <w:r w:rsidR="0091662C">
        <w:rPr>
          <w:rFonts w:ascii="Times New Roman" w:hAnsi="Times New Roman" w:cs="Times New Roman"/>
          <w:sz w:val="24"/>
          <w:szCs w:val="24"/>
        </w:rPr>
        <w:t>as suddenly become important—to skirt the Ohio Ethics laws.</w:t>
      </w:r>
      <w:r>
        <w:rPr>
          <w:rFonts w:ascii="Times New Roman" w:hAnsi="Times New Roman" w:cs="Times New Roman"/>
          <w:sz w:val="24"/>
          <w:szCs w:val="24"/>
        </w:rPr>
        <w:t xml:space="preserve"> Nonetheless, her pri</w:t>
      </w:r>
      <w:bookmarkStart w:id="0" w:name="_GoBack"/>
      <w:bookmarkEnd w:id="0"/>
      <w:r>
        <w:rPr>
          <w:rFonts w:ascii="Times New Roman" w:hAnsi="Times New Roman" w:cs="Times New Roman"/>
          <w:sz w:val="24"/>
          <w:szCs w:val="24"/>
        </w:rPr>
        <w:t>or positions within the State of Ohio caused her latest financial report to be released.</w:t>
      </w:r>
      <w:r w:rsidR="00CC11AC">
        <w:rPr>
          <w:rFonts w:ascii="Times New Roman" w:hAnsi="Times New Roman" w:cs="Times New Roman"/>
          <w:sz w:val="24"/>
          <w:szCs w:val="24"/>
        </w:rPr>
        <w:t xml:space="preserve"> </w:t>
      </w:r>
      <w:r w:rsidR="00CC11AC" w:rsidRPr="0091662C">
        <w:rPr>
          <w:rFonts w:ascii="Times New Roman" w:hAnsi="Times New Roman" w:cs="Times New Roman"/>
          <w:b/>
          <w:sz w:val="24"/>
          <w:szCs w:val="24"/>
          <w:u w:val="single"/>
        </w:rPr>
        <w:t>No public official can be shielded from liability when they have acted fraudulently</w:t>
      </w:r>
      <w:r w:rsidR="00CC11AC" w:rsidRPr="0091662C">
        <w:rPr>
          <w:rFonts w:ascii="Times New Roman" w:hAnsi="Times New Roman" w:cs="Times New Roman"/>
          <w:b/>
          <w:sz w:val="24"/>
          <w:szCs w:val="24"/>
        </w:rPr>
        <w:t xml:space="preserve">. </w:t>
      </w:r>
    </w:p>
    <w:p w:rsidR="000F3714" w:rsidRDefault="000F3714">
      <w:pPr>
        <w:rPr>
          <w:rFonts w:ascii="Times New Roman" w:hAnsi="Times New Roman" w:cs="Times New Roman"/>
          <w:sz w:val="24"/>
          <w:szCs w:val="24"/>
        </w:rPr>
      </w:pPr>
    </w:p>
    <w:sectPr w:rsidR="000F3714">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94B" w:rsidRDefault="0016394B" w:rsidP="001D07F6">
      <w:pPr>
        <w:spacing w:after="0" w:line="240" w:lineRule="auto"/>
      </w:pPr>
      <w:r>
        <w:separator/>
      </w:r>
    </w:p>
  </w:endnote>
  <w:endnote w:type="continuationSeparator" w:id="0">
    <w:p w:rsidR="0016394B" w:rsidRDefault="0016394B" w:rsidP="001D0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E71" w:rsidRDefault="001A4E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7523586"/>
      <w:docPartObj>
        <w:docPartGallery w:val="Page Numbers (Bottom of Page)"/>
        <w:docPartUnique/>
      </w:docPartObj>
    </w:sdtPr>
    <w:sdtEndPr>
      <w:rPr>
        <w:noProof/>
      </w:rPr>
    </w:sdtEndPr>
    <w:sdtContent>
      <w:p w:rsidR="001D07F6" w:rsidRDefault="00E062AE" w:rsidP="00E062AE">
        <w:pPr>
          <w:pStyle w:val="Footer"/>
          <w:jc w:val="center"/>
        </w:pPr>
        <w:r>
          <w:t>-</w:t>
        </w:r>
        <w:r>
          <w:fldChar w:fldCharType="begin"/>
        </w:r>
        <w:r>
          <w:instrText xml:space="preserve"> PAGE   \* MERGEFORMAT </w:instrText>
        </w:r>
        <w:r>
          <w:fldChar w:fldCharType="separate"/>
        </w:r>
        <w:r w:rsidR="001A4E71">
          <w:rPr>
            <w:noProof/>
          </w:rPr>
          <w:t>6</w:t>
        </w:r>
        <w:r>
          <w:rPr>
            <w:noProof/>
          </w:rPr>
          <w:fldChar w:fldCharType="end"/>
        </w:r>
        <w:r>
          <w:rPr>
            <w:noProof/>
          </w:rPr>
          <w:t>-</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E71" w:rsidRDefault="001A4E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94B" w:rsidRDefault="0016394B" w:rsidP="001D07F6">
      <w:pPr>
        <w:spacing w:after="0" w:line="240" w:lineRule="auto"/>
      </w:pPr>
      <w:r>
        <w:separator/>
      </w:r>
    </w:p>
  </w:footnote>
  <w:footnote w:type="continuationSeparator" w:id="0">
    <w:p w:rsidR="0016394B" w:rsidRDefault="0016394B" w:rsidP="001D07F6">
      <w:pPr>
        <w:spacing w:after="0" w:line="240" w:lineRule="auto"/>
      </w:pPr>
      <w:r>
        <w:continuationSeparator/>
      </w:r>
    </w:p>
  </w:footnote>
  <w:footnote w:id="1">
    <w:p w:rsidR="008A7E9F" w:rsidRDefault="008A7E9F">
      <w:pPr>
        <w:pStyle w:val="FootnoteText"/>
      </w:pPr>
      <w:r>
        <w:rPr>
          <w:rStyle w:val="FootnoteReference"/>
        </w:rPr>
        <w:footnoteRef/>
      </w:r>
      <w:r>
        <w:t xml:space="preserve"> Betty Montgomery 2014 Financial Disclosure, </w:t>
      </w:r>
      <w:hyperlink r:id="rId1" w:history="1">
        <w:r w:rsidRPr="00CE53C7">
          <w:rPr>
            <w:rStyle w:val="Hyperlink"/>
          </w:rPr>
          <w:t>http://www.fbcoverup.com/docs/ohiostate/2014-04-09-Montgomery-Betty-Financial-Disclosure-Apr-09-2014.pdf</w:t>
        </w:r>
      </w:hyperlink>
      <w:r>
        <w:t xml:space="preserve"> </w:t>
      </w:r>
    </w:p>
  </w:footnote>
  <w:footnote w:id="2">
    <w:p w:rsidR="008A7E9F" w:rsidRDefault="008A7E9F">
      <w:pPr>
        <w:pStyle w:val="FootnoteText"/>
      </w:pPr>
      <w:r>
        <w:rPr>
          <w:rStyle w:val="FootnoteReference"/>
        </w:rPr>
        <w:footnoteRef/>
      </w:r>
      <w:r>
        <w:t xml:space="preserve"> </w:t>
      </w:r>
      <w:proofErr w:type="spellStart"/>
      <w:r>
        <w:t>McBee</w:t>
      </w:r>
      <w:proofErr w:type="spellEnd"/>
      <w:r>
        <w:t xml:space="preserve"> Strategic 2014 Lobbying Clients, </w:t>
      </w:r>
      <w:hyperlink r:id="rId2" w:history="1">
        <w:r w:rsidRPr="00CE53C7">
          <w:rPr>
            <w:rStyle w:val="Hyperlink"/>
          </w:rPr>
          <w:t>http://www.fbcoverup.com/docs/ohiostate/2014-08-09-McBee-Strategic-Consulting-2014-OpenSecretsLobbying-Spending-Database-accessed-Aug-09-2014.pdf</w:t>
        </w:r>
      </w:hyperlink>
      <w:r>
        <w:t xml:space="preserve"> </w:t>
      </w:r>
    </w:p>
  </w:footnote>
  <w:footnote w:id="3">
    <w:p w:rsidR="008A7E9F" w:rsidRDefault="008A7E9F">
      <w:pPr>
        <w:pStyle w:val="FootnoteText"/>
      </w:pPr>
      <w:r>
        <w:rPr>
          <w:rStyle w:val="FootnoteReference"/>
        </w:rPr>
        <w:footnoteRef/>
      </w:r>
      <w:r>
        <w:t xml:space="preserve"> </w:t>
      </w:r>
      <w:proofErr w:type="spellStart"/>
      <w:r>
        <w:rPr>
          <w:rFonts w:cs="Times New Roman"/>
          <w:color w:val="000000" w:themeColor="text1"/>
          <w:sz w:val="18"/>
          <w:szCs w:val="18"/>
        </w:rPr>
        <w:t>BlackRock</w:t>
      </w:r>
      <w:proofErr w:type="spellEnd"/>
      <w:r>
        <w:rPr>
          <w:rFonts w:cs="Times New Roman"/>
          <w:color w:val="000000" w:themeColor="text1"/>
          <w:sz w:val="18"/>
          <w:szCs w:val="18"/>
        </w:rPr>
        <w:t xml:space="preserve"> Global Allocation </w:t>
      </w:r>
      <w:proofErr w:type="spellStart"/>
      <w:r>
        <w:rPr>
          <w:rFonts w:cs="Times New Roman"/>
          <w:color w:val="000000" w:themeColor="text1"/>
          <w:sz w:val="18"/>
          <w:szCs w:val="18"/>
        </w:rPr>
        <w:t>Inv</w:t>
      </w:r>
      <w:proofErr w:type="spellEnd"/>
      <w:r>
        <w:rPr>
          <w:rFonts w:cs="Times New Roman"/>
          <w:color w:val="000000" w:themeColor="text1"/>
          <w:sz w:val="18"/>
          <w:szCs w:val="18"/>
        </w:rPr>
        <w:t xml:space="preserve"> C Annual Report, Oct. 31, 2013,</w:t>
      </w:r>
      <w:r w:rsidRPr="003911B1">
        <w:rPr>
          <w:rFonts w:cs="Times New Roman"/>
          <w:color w:val="000000" w:themeColor="text1"/>
          <w:sz w:val="18"/>
          <w:szCs w:val="18"/>
        </w:rPr>
        <w:t xml:space="preserve"> </w:t>
      </w:r>
      <w:hyperlink r:id="rId3" w:history="1">
        <w:r w:rsidRPr="00CE53C7">
          <w:rPr>
            <w:rStyle w:val="Hyperlink"/>
            <w:rFonts w:cs="Times New Roman"/>
            <w:sz w:val="18"/>
            <w:szCs w:val="18"/>
          </w:rPr>
          <w:t>http://www.fbcoverup.com</w:t>
        </w:r>
        <w:r w:rsidRPr="00CE53C7">
          <w:rPr>
            <w:rStyle w:val="Hyperlink"/>
            <w:rFonts w:cs="Times New Roman"/>
            <w:sz w:val="18"/>
            <w:szCs w:val="18"/>
          </w:rPr>
          <w:t>/</w:t>
        </w:r>
        <w:r w:rsidRPr="00CE53C7">
          <w:rPr>
            <w:rStyle w:val="Hyperlink"/>
            <w:rFonts w:cs="Times New Roman"/>
            <w:sz w:val="18"/>
            <w:szCs w:val="18"/>
          </w:rPr>
          <w:t>docs/ohio</w:t>
        </w:r>
        <w:r w:rsidRPr="00CE53C7">
          <w:rPr>
            <w:rStyle w:val="Hyperlink"/>
            <w:rFonts w:cs="Times New Roman"/>
            <w:sz w:val="18"/>
            <w:szCs w:val="18"/>
          </w:rPr>
          <w:t>s</w:t>
        </w:r>
        <w:r w:rsidRPr="00CE53C7">
          <w:rPr>
            <w:rStyle w:val="Hyperlink"/>
            <w:rFonts w:cs="Times New Roman"/>
            <w:sz w:val="18"/>
            <w:szCs w:val="18"/>
          </w:rPr>
          <w:t>tate/</w:t>
        </w:r>
        <w:r w:rsidRPr="00CE53C7">
          <w:rPr>
            <w:rStyle w:val="Hyperlink"/>
            <w:rFonts w:cs="Times New Roman"/>
            <w:sz w:val="18"/>
            <w:szCs w:val="18"/>
          </w:rPr>
          <w:t>2013-10-31-MCLOX-BlackRock-Global-Allocation-Inv-C-</w:t>
        </w:r>
        <w:r w:rsidRPr="00CE53C7">
          <w:rPr>
            <w:rStyle w:val="Hyperlink"/>
            <w:rFonts w:cs="Times New Roman"/>
            <w:sz w:val="18"/>
            <w:szCs w:val="18"/>
          </w:rPr>
          <w:t>A</w:t>
        </w:r>
        <w:r w:rsidRPr="00CE53C7">
          <w:rPr>
            <w:rStyle w:val="Hyperlink"/>
            <w:rFonts w:cs="Times New Roman"/>
            <w:sz w:val="18"/>
            <w:szCs w:val="18"/>
          </w:rPr>
          <w:t>nnual-Report-Oct-31-2013.pdf</w:t>
        </w:r>
      </w:hyperlink>
    </w:p>
  </w:footnote>
  <w:footnote w:id="4">
    <w:p w:rsidR="0091662C" w:rsidRDefault="0091662C">
      <w:pPr>
        <w:pStyle w:val="FootnoteText"/>
      </w:pPr>
      <w:r>
        <w:rPr>
          <w:rStyle w:val="FootnoteReference"/>
        </w:rPr>
        <w:footnoteRef/>
      </w:r>
      <w:r>
        <w:t xml:space="preserve"> </w:t>
      </w:r>
      <w:proofErr w:type="spellStart"/>
      <w:r>
        <w:t>Wellpoint</w:t>
      </w:r>
      <w:proofErr w:type="spellEnd"/>
      <w:r>
        <w:t xml:space="preserve">, Inc. Political Donations, 2006, Betty Montgomery, p. 3 </w:t>
      </w:r>
      <w:hyperlink r:id="rId4" w:history="1">
        <w:r w:rsidRPr="00CE53C7">
          <w:rPr>
            <w:rStyle w:val="Hyperlink"/>
          </w:rPr>
          <w:t>http://www.fbcoverup.com/docs/ohiostate/2006-WELLPOINT-INC-Follow-The-Money-Political-Contributions-2006.pdf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E71" w:rsidRDefault="001A4E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198" w:rsidRDefault="00932198" w:rsidP="00932198">
    <w:pPr>
      <w:pStyle w:val="Header"/>
      <w:jc w:val="right"/>
    </w:pPr>
    <w:r>
      <w:t>Mutual Funds and Conflicts Concealment among Public Officials</w:t>
    </w:r>
    <w:r w:rsidR="00CC11AC">
      <w:t xml:space="preserve"> at Ohio State</w:t>
    </w:r>
    <w:r w:rsidR="0091662C">
      <w:t>, v. 10/13/2014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E71" w:rsidRDefault="001A4E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755126"/>
    <w:multiLevelType w:val="multilevel"/>
    <w:tmpl w:val="E73C6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A46150F"/>
    <w:multiLevelType w:val="hybridMultilevel"/>
    <w:tmpl w:val="1E96B7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684CD8"/>
    <w:multiLevelType w:val="hybridMultilevel"/>
    <w:tmpl w:val="68282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796F3A"/>
    <w:multiLevelType w:val="hybridMultilevel"/>
    <w:tmpl w:val="AF26B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5D3"/>
    <w:rsid w:val="000512AB"/>
    <w:rsid w:val="000A0382"/>
    <w:rsid w:val="000F3714"/>
    <w:rsid w:val="00144735"/>
    <w:rsid w:val="0016394B"/>
    <w:rsid w:val="001A4E71"/>
    <w:rsid w:val="001C12C9"/>
    <w:rsid w:val="001D07F6"/>
    <w:rsid w:val="002E4AA6"/>
    <w:rsid w:val="00302373"/>
    <w:rsid w:val="003911B1"/>
    <w:rsid w:val="00557823"/>
    <w:rsid w:val="005F4FD9"/>
    <w:rsid w:val="00655848"/>
    <w:rsid w:val="007115D3"/>
    <w:rsid w:val="007640EF"/>
    <w:rsid w:val="007D0D70"/>
    <w:rsid w:val="0082074D"/>
    <w:rsid w:val="008607B3"/>
    <w:rsid w:val="008A7E9F"/>
    <w:rsid w:val="008C084C"/>
    <w:rsid w:val="0091662C"/>
    <w:rsid w:val="00932198"/>
    <w:rsid w:val="009A3156"/>
    <w:rsid w:val="00A302C2"/>
    <w:rsid w:val="00A41F5D"/>
    <w:rsid w:val="00A45E30"/>
    <w:rsid w:val="00B113C0"/>
    <w:rsid w:val="00BB32F2"/>
    <w:rsid w:val="00BC3563"/>
    <w:rsid w:val="00C2302E"/>
    <w:rsid w:val="00CC11AC"/>
    <w:rsid w:val="00CD5E86"/>
    <w:rsid w:val="00CE6322"/>
    <w:rsid w:val="00D97B32"/>
    <w:rsid w:val="00DF67E1"/>
    <w:rsid w:val="00E062AE"/>
    <w:rsid w:val="00E26B4D"/>
    <w:rsid w:val="00E35FD1"/>
    <w:rsid w:val="00E8215E"/>
    <w:rsid w:val="00F55929"/>
    <w:rsid w:val="00F66B2F"/>
    <w:rsid w:val="00FB1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115D3"/>
  </w:style>
  <w:style w:type="paragraph" w:styleId="ListParagraph">
    <w:name w:val="List Paragraph"/>
    <w:basedOn w:val="Normal"/>
    <w:uiPriority w:val="34"/>
    <w:qFormat/>
    <w:rsid w:val="0082074D"/>
    <w:pPr>
      <w:ind w:left="720"/>
      <w:contextualSpacing/>
    </w:pPr>
  </w:style>
  <w:style w:type="paragraph" w:styleId="Title">
    <w:name w:val="Title"/>
    <w:basedOn w:val="Normal"/>
    <w:next w:val="Normal"/>
    <w:link w:val="TitleChar"/>
    <w:uiPriority w:val="10"/>
    <w:qFormat/>
    <w:rsid w:val="007D0D7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D0D70"/>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1D07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07F6"/>
  </w:style>
  <w:style w:type="paragraph" w:styleId="Footer">
    <w:name w:val="footer"/>
    <w:basedOn w:val="Normal"/>
    <w:link w:val="FooterChar"/>
    <w:uiPriority w:val="99"/>
    <w:unhideWhenUsed/>
    <w:rsid w:val="001D07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7F6"/>
  </w:style>
  <w:style w:type="character" w:styleId="Hyperlink">
    <w:name w:val="Hyperlink"/>
    <w:basedOn w:val="DefaultParagraphFont"/>
    <w:uiPriority w:val="99"/>
    <w:unhideWhenUsed/>
    <w:rsid w:val="009A3156"/>
    <w:rPr>
      <w:color w:val="0000FF" w:themeColor="hyperlink"/>
      <w:u w:val="single"/>
    </w:rPr>
  </w:style>
  <w:style w:type="paragraph" w:styleId="BalloonText">
    <w:name w:val="Balloon Text"/>
    <w:basedOn w:val="Normal"/>
    <w:link w:val="BalloonTextChar"/>
    <w:uiPriority w:val="99"/>
    <w:semiHidden/>
    <w:unhideWhenUsed/>
    <w:rsid w:val="003023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373"/>
    <w:rPr>
      <w:rFonts w:ascii="Tahoma" w:hAnsi="Tahoma" w:cs="Tahoma"/>
      <w:sz w:val="16"/>
      <w:szCs w:val="16"/>
    </w:rPr>
  </w:style>
  <w:style w:type="character" w:styleId="FollowedHyperlink">
    <w:name w:val="FollowedHyperlink"/>
    <w:basedOn w:val="DefaultParagraphFont"/>
    <w:uiPriority w:val="99"/>
    <w:semiHidden/>
    <w:unhideWhenUsed/>
    <w:rsid w:val="008A7E9F"/>
    <w:rPr>
      <w:color w:val="800080" w:themeColor="followedHyperlink"/>
      <w:u w:val="single"/>
    </w:rPr>
  </w:style>
  <w:style w:type="paragraph" w:styleId="FootnoteText">
    <w:name w:val="footnote text"/>
    <w:basedOn w:val="Normal"/>
    <w:link w:val="FootnoteTextChar"/>
    <w:uiPriority w:val="99"/>
    <w:semiHidden/>
    <w:unhideWhenUsed/>
    <w:rsid w:val="008A7E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7E9F"/>
    <w:rPr>
      <w:sz w:val="20"/>
      <w:szCs w:val="20"/>
    </w:rPr>
  </w:style>
  <w:style w:type="character" w:styleId="FootnoteReference">
    <w:name w:val="footnote reference"/>
    <w:basedOn w:val="DefaultParagraphFont"/>
    <w:uiPriority w:val="99"/>
    <w:semiHidden/>
    <w:unhideWhenUsed/>
    <w:rsid w:val="008A7E9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115D3"/>
  </w:style>
  <w:style w:type="paragraph" w:styleId="ListParagraph">
    <w:name w:val="List Paragraph"/>
    <w:basedOn w:val="Normal"/>
    <w:uiPriority w:val="34"/>
    <w:qFormat/>
    <w:rsid w:val="0082074D"/>
    <w:pPr>
      <w:ind w:left="720"/>
      <w:contextualSpacing/>
    </w:pPr>
  </w:style>
  <w:style w:type="paragraph" w:styleId="Title">
    <w:name w:val="Title"/>
    <w:basedOn w:val="Normal"/>
    <w:next w:val="Normal"/>
    <w:link w:val="TitleChar"/>
    <w:uiPriority w:val="10"/>
    <w:qFormat/>
    <w:rsid w:val="007D0D7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D0D70"/>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1D07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07F6"/>
  </w:style>
  <w:style w:type="paragraph" w:styleId="Footer">
    <w:name w:val="footer"/>
    <w:basedOn w:val="Normal"/>
    <w:link w:val="FooterChar"/>
    <w:uiPriority w:val="99"/>
    <w:unhideWhenUsed/>
    <w:rsid w:val="001D07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7F6"/>
  </w:style>
  <w:style w:type="character" w:styleId="Hyperlink">
    <w:name w:val="Hyperlink"/>
    <w:basedOn w:val="DefaultParagraphFont"/>
    <w:uiPriority w:val="99"/>
    <w:unhideWhenUsed/>
    <w:rsid w:val="009A3156"/>
    <w:rPr>
      <w:color w:val="0000FF" w:themeColor="hyperlink"/>
      <w:u w:val="single"/>
    </w:rPr>
  </w:style>
  <w:style w:type="paragraph" w:styleId="BalloonText">
    <w:name w:val="Balloon Text"/>
    <w:basedOn w:val="Normal"/>
    <w:link w:val="BalloonTextChar"/>
    <w:uiPriority w:val="99"/>
    <w:semiHidden/>
    <w:unhideWhenUsed/>
    <w:rsid w:val="003023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373"/>
    <w:rPr>
      <w:rFonts w:ascii="Tahoma" w:hAnsi="Tahoma" w:cs="Tahoma"/>
      <w:sz w:val="16"/>
      <w:szCs w:val="16"/>
    </w:rPr>
  </w:style>
  <w:style w:type="character" w:styleId="FollowedHyperlink">
    <w:name w:val="FollowedHyperlink"/>
    <w:basedOn w:val="DefaultParagraphFont"/>
    <w:uiPriority w:val="99"/>
    <w:semiHidden/>
    <w:unhideWhenUsed/>
    <w:rsid w:val="008A7E9F"/>
    <w:rPr>
      <w:color w:val="800080" w:themeColor="followedHyperlink"/>
      <w:u w:val="single"/>
    </w:rPr>
  </w:style>
  <w:style w:type="paragraph" w:styleId="FootnoteText">
    <w:name w:val="footnote text"/>
    <w:basedOn w:val="Normal"/>
    <w:link w:val="FootnoteTextChar"/>
    <w:uiPriority w:val="99"/>
    <w:semiHidden/>
    <w:unhideWhenUsed/>
    <w:rsid w:val="008A7E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7E9F"/>
    <w:rPr>
      <w:sz w:val="20"/>
      <w:szCs w:val="20"/>
    </w:rPr>
  </w:style>
  <w:style w:type="character" w:styleId="FootnoteReference">
    <w:name w:val="footnote reference"/>
    <w:basedOn w:val="DefaultParagraphFont"/>
    <w:uiPriority w:val="99"/>
    <w:semiHidden/>
    <w:unhideWhenUsed/>
    <w:rsid w:val="008A7E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487140">
      <w:bodyDiv w:val="1"/>
      <w:marLeft w:val="0"/>
      <w:marRight w:val="0"/>
      <w:marTop w:val="0"/>
      <w:marBottom w:val="0"/>
      <w:divBdr>
        <w:top w:val="none" w:sz="0" w:space="0" w:color="auto"/>
        <w:left w:val="none" w:sz="0" w:space="0" w:color="auto"/>
        <w:bottom w:val="none" w:sz="0" w:space="0" w:color="auto"/>
        <w:right w:val="none" w:sz="0" w:space="0" w:color="auto"/>
      </w:divBdr>
    </w:div>
    <w:div w:id="1868714365">
      <w:bodyDiv w:val="1"/>
      <w:marLeft w:val="0"/>
      <w:marRight w:val="0"/>
      <w:marTop w:val="0"/>
      <w:marBottom w:val="0"/>
      <w:divBdr>
        <w:top w:val="none" w:sz="0" w:space="0" w:color="auto"/>
        <w:left w:val="none" w:sz="0" w:space="0" w:color="auto"/>
        <w:bottom w:val="none" w:sz="0" w:space="0" w:color="auto"/>
        <w:right w:val="none" w:sz="0" w:space="0" w:color="auto"/>
      </w:divBdr>
      <w:divsChild>
        <w:div w:id="924535456">
          <w:marLeft w:val="0"/>
          <w:marRight w:val="0"/>
          <w:marTop w:val="0"/>
          <w:marBottom w:val="0"/>
          <w:divBdr>
            <w:top w:val="none" w:sz="0" w:space="0" w:color="auto"/>
            <w:left w:val="none" w:sz="0" w:space="0" w:color="auto"/>
            <w:bottom w:val="none" w:sz="0" w:space="0" w:color="auto"/>
            <w:right w:val="none" w:sz="0" w:space="0" w:color="auto"/>
          </w:divBdr>
          <w:divsChild>
            <w:div w:id="1465079739">
              <w:marLeft w:val="0"/>
              <w:marRight w:val="0"/>
              <w:marTop w:val="0"/>
              <w:marBottom w:val="0"/>
              <w:divBdr>
                <w:top w:val="none" w:sz="0" w:space="0" w:color="auto"/>
                <w:left w:val="none" w:sz="0" w:space="0" w:color="auto"/>
                <w:bottom w:val="none" w:sz="0" w:space="0" w:color="auto"/>
                <w:right w:val="none" w:sz="0" w:space="0" w:color="auto"/>
              </w:divBdr>
              <w:divsChild>
                <w:div w:id="1797798468">
                  <w:marLeft w:val="300"/>
                  <w:marRight w:val="0"/>
                  <w:marTop w:val="0"/>
                  <w:marBottom w:val="0"/>
                  <w:divBdr>
                    <w:top w:val="none" w:sz="0" w:space="0" w:color="auto"/>
                    <w:left w:val="none" w:sz="0" w:space="0" w:color="auto"/>
                    <w:bottom w:val="none" w:sz="0" w:space="0" w:color="auto"/>
                    <w:right w:val="none" w:sz="0" w:space="0" w:color="auto"/>
                  </w:divBdr>
                  <w:divsChild>
                    <w:div w:id="942035633">
                      <w:marLeft w:val="-300"/>
                      <w:marRight w:val="0"/>
                      <w:marTop w:val="0"/>
                      <w:marBottom w:val="0"/>
                      <w:divBdr>
                        <w:top w:val="none" w:sz="0" w:space="0" w:color="auto"/>
                        <w:left w:val="none" w:sz="0" w:space="0" w:color="auto"/>
                        <w:bottom w:val="none" w:sz="0" w:space="0" w:color="auto"/>
                        <w:right w:val="none" w:sz="0" w:space="0" w:color="auto"/>
                      </w:divBdr>
                      <w:divsChild>
                        <w:div w:id="48948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bcoverup.com/docs/ohiostate/2013-10-31-MCLOX-BlackRock-Global-Allocation-Inv-C-Annual-Report-Oct-31-2013.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fbcoverup.com/docs/ohiostate/2014-08-09-McBee-Strategic-Consulting-2014-OpenSecretsLobbying-Spending-Database-accessed-Aug-09-2014.pdf"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fbcoverup.com/docs/ohiostate/2014-04-09-Montgomery-Betty-Financial-Disclosure-Apr-09-2014.pdf"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www.fbcoverup.com/docs/ohiostate/2013-10-31-MCLOX-BlackRock-Global-Allocation-Inv-C-Annual-Report-Oct-31-2013.pdf" TargetMode="External"/><Relationship Id="rId2" Type="http://schemas.openxmlformats.org/officeDocument/2006/relationships/hyperlink" Target="http://www.fbcoverup.com/docs/ohiostate/2014-08-09-McBee-Strategic-Consulting-2014-OpenSecretsLobbying-Spending-Database-accessed-Aug-09-2014.pdf" TargetMode="External"/><Relationship Id="rId1" Type="http://schemas.openxmlformats.org/officeDocument/2006/relationships/hyperlink" Target="http://www.fbcoverup.com/docs/ohiostate/2014-04-09-Montgomery-Betty-Financial-Disclosure-Apr-09-2014.pdf" TargetMode="External"/><Relationship Id="rId4" Type="http://schemas.openxmlformats.org/officeDocument/2006/relationships/hyperlink" Target="http://www.fbcoverup.com/docs/ohiostate/2006-WELLPOINT-INC-Follow-The-Money-Political-Contributions-200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01351-5976-46B5-94E2-2135A295A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1553</Words>
  <Characters>8853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2014-10-14T00:43:00Z</dcterms:created>
  <dcterms:modified xsi:type="dcterms:W3CDTF">2014-10-14T00:43:00Z</dcterms:modified>
</cp:coreProperties>
</file>